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ascii="方正小标宋_GBK" w:hAnsi="方正小标宋_GBK" w:eastAsia="方正小标宋_GBK" w:cs="方正小标宋_GBK"/>
          <w:sz w:val="36"/>
          <w:szCs w:val="36"/>
        </w:rPr>
      </w:pPr>
      <w:bookmarkStart w:id="0" w:name="_Hlk29479244"/>
      <w:r>
        <w:rPr>
          <w:rFonts w:hint="eastAsia" w:ascii="方正小标宋_GBK" w:hAnsi="方正小标宋_GBK" w:eastAsia="方正小标宋_GBK" w:cs="方正小标宋_GBK"/>
          <w:sz w:val="36"/>
          <w:szCs w:val="36"/>
        </w:rPr>
        <w:t>贵州省复肥</w:t>
      </w:r>
      <w:bookmarkEnd w:id="0"/>
      <w:r>
        <w:rPr>
          <w:rFonts w:hint="eastAsia" w:ascii="方正小标宋_GBK" w:hAnsi="方正小标宋_GBK" w:eastAsia="方正小标宋_GBK" w:cs="方正小标宋_GBK"/>
          <w:sz w:val="36"/>
          <w:szCs w:val="36"/>
        </w:rPr>
        <w:t>产品质量监督抽查实施细则</w:t>
      </w:r>
    </w:p>
    <w:p>
      <w:pPr>
        <w:spacing w:line="440" w:lineRule="exact"/>
        <w:jc w:val="center"/>
        <w:rPr>
          <w:rFonts w:hint="eastAsia" w:ascii="楷体_GB2312" w:hAnsi="楷体_GB2312" w:eastAsia="楷体_GB2312" w:cs="楷体_GB2312"/>
          <w:color w:val="000000"/>
          <w:sz w:val="30"/>
          <w:szCs w:val="30"/>
        </w:rPr>
      </w:pPr>
      <w:r>
        <w:rPr>
          <w:rFonts w:hint="eastAsia" w:ascii="楷体_GB2312" w:hAnsi="楷体_GB2312" w:eastAsia="楷体_GB2312" w:cs="楷体_GB2312"/>
          <w:color w:val="000000"/>
          <w:sz w:val="30"/>
          <w:szCs w:val="30"/>
        </w:rPr>
        <w:t>（202</w:t>
      </w:r>
      <w:r>
        <w:rPr>
          <w:rFonts w:hint="eastAsia" w:ascii="楷体_GB2312" w:hAnsi="楷体_GB2312" w:eastAsia="楷体_GB2312" w:cs="楷体_GB2312"/>
          <w:color w:val="000000"/>
          <w:sz w:val="30"/>
          <w:szCs w:val="30"/>
          <w:lang w:val="en-US" w:eastAsia="zh-CN"/>
        </w:rPr>
        <w:t>6</w:t>
      </w:r>
      <w:r>
        <w:rPr>
          <w:rFonts w:hint="eastAsia" w:ascii="楷体_GB2312" w:hAnsi="楷体_GB2312" w:eastAsia="楷体_GB2312" w:cs="楷体_GB2312"/>
          <w:color w:val="000000"/>
          <w:sz w:val="30"/>
          <w:szCs w:val="30"/>
        </w:rPr>
        <w:t>年版）</w:t>
      </w:r>
    </w:p>
    <w:p>
      <w:pPr>
        <w:adjustRightInd w:val="0"/>
        <w:snapToGrid w:val="0"/>
        <w:spacing w:line="594" w:lineRule="exact"/>
        <w:jc w:val="center"/>
        <w:rPr>
          <w:rFonts w:eastAsia="方正小标宋简体"/>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bookmarkStart w:id="1" w:name="_Hlk40800877"/>
      <w:r>
        <w:rPr>
          <w:color w:val="000000"/>
          <w:szCs w:val="21"/>
        </w:rPr>
        <w:t>将样品缩分至约1kg，再缩分成两份，分装于2个洁净、干燥的塑料瓶中。1瓶作为检验样品，另1瓶作为备用样品。</w:t>
      </w:r>
    </w:p>
    <w:p>
      <w:pPr>
        <w:snapToGrid w:val="0"/>
        <w:spacing w:line="440" w:lineRule="exact"/>
        <w:ind w:firstLine="420" w:firstLineChars="200"/>
        <w:rPr>
          <w:color w:val="000000"/>
          <w:szCs w:val="21"/>
        </w:rPr>
      </w:pPr>
    </w:p>
    <w:bookmarkEnd w:id="1"/>
    <w:p>
      <w:pPr>
        <w:snapToGrid w:val="0"/>
        <w:spacing w:line="440" w:lineRule="exact"/>
        <w:rPr>
          <w:rFonts w:eastAsia="黑体"/>
          <w:bCs/>
          <w:szCs w:val="21"/>
        </w:rPr>
      </w:pPr>
      <w:r>
        <w:rPr>
          <w:rFonts w:eastAsia="黑体"/>
          <w:szCs w:val="21"/>
        </w:rPr>
        <w:t>2 检验依据</w:t>
      </w:r>
    </w:p>
    <w:p>
      <w:pPr>
        <w:snapToGrid w:val="0"/>
        <w:spacing w:line="440" w:lineRule="exact"/>
        <w:jc w:val="center"/>
        <w:rPr>
          <w:kern w:val="0"/>
          <w:szCs w:val="21"/>
        </w:rPr>
      </w:pPr>
      <w:r>
        <w:rPr>
          <w:rFonts w:hint="eastAsia"/>
          <w:kern w:val="0"/>
          <w:szCs w:val="21"/>
        </w:rPr>
        <w:t>表1复合肥料</w:t>
      </w:r>
    </w:p>
    <w:tbl>
      <w:tblPr>
        <w:tblStyle w:val="5"/>
        <w:tblW w:w="906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99"/>
        <w:gridCol w:w="1983"/>
        <w:gridCol w:w="2695"/>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blHeader/>
        </w:trPr>
        <w:tc>
          <w:tcPr>
            <w:tcW w:w="699" w:type="dxa"/>
            <w:tcBorders>
              <w:tl2br w:val="nil"/>
              <w:tr2bl w:val="nil"/>
            </w:tcBorders>
            <w:shd w:val="clear" w:color="auto" w:fill="FFFFFF"/>
            <w:noWrap/>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序号</w:t>
            </w:r>
          </w:p>
        </w:tc>
        <w:tc>
          <w:tcPr>
            <w:tcW w:w="4678" w:type="dxa"/>
            <w:gridSpan w:val="2"/>
            <w:tcBorders>
              <w:tl2br w:val="nil"/>
              <w:tr2bl w:val="nil"/>
            </w:tcBorders>
            <w:shd w:val="clear" w:color="auto" w:fill="FFFFFF"/>
            <w:noWrap/>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检验项目</w:t>
            </w:r>
          </w:p>
        </w:tc>
        <w:tc>
          <w:tcPr>
            <w:tcW w:w="3685" w:type="dxa"/>
            <w:tcBorders>
              <w:tl2br w:val="nil"/>
              <w:tr2bl w:val="nil"/>
            </w:tcBorders>
            <w:shd w:val="clear" w:color="auto" w:fill="FFFFFF"/>
            <w:noWrap w:val="0"/>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总养分(N+P</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r>
              <w:rPr>
                <w:rFonts w:hint="default" w:ascii="Times New Roman" w:hAnsi="Times New Roman" w:cs="Times New Roman"/>
                <w:kern w:val="0"/>
                <w:szCs w:val="21"/>
                <w:vertAlign w:val="subscript"/>
              </w:rPr>
              <w:t>5</w:t>
            </w:r>
            <w:r>
              <w:rPr>
                <w:rFonts w:hint="default" w:ascii="Times New Roman" w:hAnsi="Times New Roman" w:cs="Times New Roman"/>
                <w:kern w:val="0"/>
                <w:szCs w:val="21"/>
              </w:rPr>
              <w:t>+K</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总氮(N)</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8572-2010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22923-2008</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lang w:bidi="ar"/>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有效磷(P</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r>
              <w:rPr>
                <w:rFonts w:hint="default" w:ascii="Times New Roman" w:hAnsi="Times New Roman" w:cs="Times New Roman"/>
                <w:kern w:val="0"/>
                <w:szCs w:val="21"/>
                <w:vertAlign w:val="subscript"/>
              </w:rPr>
              <w:t>5</w:t>
            </w:r>
            <w:r>
              <w:rPr>
                <w:rFonts w:hint="default" w:ascii="Times New Roman" w:hAnsi="Times New Roman" w:cs="Times New Roman"/>
                <w:kern w:val="0"/>
                <w:szCs w:val="21"/>
              </w:rPr>
              <w:t>)</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22923-2008</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氧化钾(K</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color w:val="auto"/>
                <w:kern w:val="0"/>
                <w:szCs w:val="21"/>
                <w:lang w:val="en-US" w:eastAsia="zh-CN"/>
              </w:rPr>
            </w:pPr>
            <w:r>
              <w:rPr>
                <w:rFonts w:hint="default" w:ascii="Times New Roman" w:hAnsi="Times New Roman" w:cs="Times New Roman"/>
                <w:kern w:val="0"/>
                <w:szCs w:val="21"/>
              </w:rPr>
              <w:t>GB/T 85</w:t>
            </w:r>
            <w:r>
              <w:rPr>
                <w:rFonts w:hint="default" w:ascii="Times New Roman" w:hAnsi="Times New Roman" w:cs="Times New Roman"/>
                <w:color w:val="auto"/>
                <w:kern w:val="0"/>
                <w:szCs w:val="21"/>
              </w:rPr>
              <w:t>74-20</w:t>
            </w:r>
            <w:r>
              <w:rPr>
                <w:rFonts w:hint="default" w:ascii="Times New Roman" w:hAnsi="Times New Roman" w:cs="Times New Roman"/>
                <w:color w:val="auto"/>
                <w:kern w:val="0"/>
                <w:szCs w:val="21"/>
                <w:lang w:val="en-US" w:eastAsia="zh-CN"/>
              </w:rPr>
              <w:t>24</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22923-2008</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lang w:bidi="ar"/>
              </w:rPr>
              <w:t>NY/T 2540- 2014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水溶性磷占有效磷百分率</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硝态氮</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3597-2002</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8572-2010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lang w:bidi="ar"/>
              </w:rPr>
              <w:t>GB/T 22923-2008</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lang w:bidi="ar"/>
              </w:rPr>
              <w:t>NY/T 1116-2014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99" w:type="dxa"/>
            <w:vMerge w:val="restart"/>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1983" w:type="dxa"/>
            <w:vMerge w:val="restart"/>
            <w:tcBorders>
              <w:tl2br w:val="nil"/>
              <w:tr2bl w:val="nil"/>
            </w:tcBorders>
            <w:shd w:val="clear" w:color="auto" w:fill="FFFFFF"/>
            <w:noWrap/>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单一中量元素（以单质计）</w:t>
            </w:r>
          </w:p>
        </w:tc>
        <w:tc>
          <w:tcPr>
            <w:tcW w:w="2695" w:type="dxa"/>
            <w:tcBorders>
              <w:tl2br w:val="nil"/>
              <w:tr2bl w:val="nil"/>
            </w:tcBorders>
            <w:shd w:val="clear" w:color="auto" w:fill="FFFFFF"/>
            <w:noWrap/>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有效钙</w:t>
            </w:r>
          </w:p>
        </w:tc>
        <w:tc>
          <w:tcPr>
            <w:tcW w:w="3685" w:type="dxa"/>
            <w:vMerge w:val="restart"/>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19203-2003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99" w:type="dxa"/>
            <w:vMerge w:val="continue"/>
            <w:tcBorders>
              <w:tl2br w:val="nil"/>
              <w:tr2bl w:val="nil"/>
            </w:tcBorders>
            <w:shd w:val="clear" w:color="auto" w:fill="FFFFFF"/>
            <w:noWrap/>
            <w:vAlign w:val="center"/>
          </w:tcPr>
          <w:p>
            <w:pPr>
              <w:pStyle w:val="12"/>
              <w:widowControl/>
              <w:ind w:left="210" w:firstLineChars="0"/>
              <w:jc w:val="center"/>
              <w:rPr>
                <w:rFonts w:hint="default" w:ascii="Times New Roman" w:hAnsi="Times New Roman" w:eastAsia="宋体" w:cs="Times New Roman"/>
                <w:kern w:val="0"/>
                <w:szCs w:val="21"/>
              </w:rPr>
            </w:pPr>
          </w:p>
        </w:tc>
        <w:tc>
          <w:tcPr>
            <w:tcW w:w="1983" w:type="dxa"/>
            <w:vMerge w:val="continue"/>
            <w:tcBorders>
              <w:tl2br w:val="nil"/>
              <w:tr2bl w:val="nil"/>
            </w:tcBorders>
            <w:shd w:val="clear" w:color="auto" w:fill="FFFFFF"/>
            <w:noWrap/>
            <w:vAlign w:val="center"/>
          </w:tcPr>
          <w:p>
            <w:pPr>
              <w:widowControl/>
              <w:jc w:val="center"/>
              <w:rPr>
                <w:rFonts w:hint="default" w:ascii="Times New Roman" w:hAnsi="Times New Roman" w:cs="Times New Roman"/>
                <w:color w:val="auto"/>
                <w:kern w:val="0"/>
                <w:szCs w:val="21"/>
              </w:rPr>
            </w:pPr>
          </w:p>
        </w:tc>
        <w:tc>
          <w:tcPr>
            <w:tcW w:w="2695" w:type="dxa"/>
            <w:tcBorders>
              <w:tl2br w:val="nil"/>
              <w:tr2bl w:val="nil"/>
            </w:tcBorders>
            <w:shd w:val="clear" w:color="auto" w:fill="FFFFFF"/>
            <w:noWrap/>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有效镁</w:t>
            </w:r>
          </w:p>
        </w:tc>
        <w:tc>
          <w:tcPr>
            <w:tcW w:w="3685" w:type="dxa"/>
            <w:vMerge w:val="continue"/>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699" w:type="dxa"/>
            <w:vMerge w:val="continue"/>
            <w:tcBorders>
              <w:tl2br w:val="nil"/>
              <w:tr2bl w:val="nil"/>
            </w:tcBorders>
            <w:shd w:val="clear" w:color="auto" w:fill="FFFFFF"/>
            <w:noWrap/>
            <w:vAlign w:val="center"/>
          </w:tcPr>
          <w:p>
            <w:pPr>
              <w:pStyle w:val="12"/>
              <w:widowControl/>
              <w:ind w:firstLineChars="0"/>
              <w:jc w:val="center"/>
              <w:rPr>
                <w:rFonts w:hint="default" w:ascii="Times New Roman" w:hAnsi="Times New Roman" w:eastAsia="宋体" w:cs="Times New Roman"/>
                <w:kern w:val="0"/>
                <w:szCs w:val="21"/>
              </w:rPr>
            </w:pPr>
          </w:p>
        </w:tc>
        <w:tc>
          <w:tcPr>
            <w:tcW w:w="1983" w:type="dxa"/>
            <w:vMerge w:val="continue"/>
            <w:tcBorders>
              <w:tl2br w:val="nil"/>
              <w:tr2bl w:val="nil"/>
            </w:tcBorders>
            <w:shd w:val="clear" w:color="auto" w:fill="FFFFFF"/>
            <w:noWrap/>
            <w:vAlign w:val="center"/>
          </w:tcPr>
          <w:p>
            <w:pPr>
              <w:widowControl/>
              <w:jc w:val="center"/>
              <w:rPr>
                <w:rFonts w:hint="default" w:ascii="Times New Roman" w:hAnsi="Times New Roman" w:cs="Times New Roman"/>
                <w:color w:val="auto"/>
                <w:kern w:val="0"/>
                <w:szCs w:val="21"/>
              </w:rPr>
            </w:pPr>
          </w:p>
        </w:tc>
        <w:tc>
          <w:tcPr>
            <w:tcW w:w="2695" w:type="dxa"/>
            <w:tcBorders>
              <w:tl2br w:val="nil"/>
              <w:tr2bl w:val="nil"/>
            </w:tcBorders>
            <w:shd w:val="clear" w:color="auto" w:fill="FFFFFF"/>
            <w:noWrap/>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总硫</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lang w:bidi="ar"/>
              </w:rPr>
            </w:pPr>
            <w:r>
              <w:rPr>
                <w:rFonts w:hint="default" w:ascii="Times New Roman" w:hAnsi="Times New Roman" w:cs="Times New Roman"/>
                <w:kern w:val="0"/>
                <w:szCs w:val="21"/>
              </w:rPr>
              <w:t>GB/T 19203-2003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单一微量元素（以单质计）</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34764-2017</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 GB/T 14540-2003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粒度(1.00mm~4.75mm或3.35mm~5.60mm)</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24891-2010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氯离子</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24890-2010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总砷</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39229-2020/ISO 17318:2015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总镉</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39229-2020/ISO 17318:2015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总铅</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39229-2020/ISO 17318:2015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总铬</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39229-2020/ISO 17318:2015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总汞</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39229-2020/ISO 17318:2015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总铊</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缩二脲</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2292</w:t>
            </w:r>
            <w:r>
              <w:rPr>
                <w:rFonts w:hint="default" w:ascii="Times New Roman" w:hAnsi="Times New Roman" w:cs="Times New Roman"/>
                <w:color w:val="auto"/>
                <w:kern w:val="0"/>
                <w:szCs w:val="21"/>
              </w:rPr>
              <w:t>4-20</w:t>
            </w:r>
            <w:r>
              <w:rPr>
                <w:rFonts w:hint="default" w:ascii="Times New Roman" w:hAnsi="Times New Roman" w:cs="Times New Roman"/>
                <w:color w:val="auto"/>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hint="default" w:ascii="Times New Roman" w:hAnsi="Times New Roman" w:eastAsia="宋体" w:cs="Times New Roman"/>
                <w:kern w:val="0"/>
                <w:szCs w:val="21"/>
              </w:rPr>
            </w:pPr>
          </w:p>
        </w:tc>
        <w:tc>
          <w:tcPr>
            <w:tcW w:w="4678" w:type="dxa"/>
            <w:gridSpan w:val="2"/>
            <w:tcBorders>
              <w:tl2br w:val="nil"/>
              <w:tr2bl w:val="nil"/>
            </w:tcBorders>
            <w:shd w:val="clear" w:color="auto" w:fill="FFFFFF"/>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color w:val="000000"/>
                <w:kern w:val="0"/>
                <w:szCs w:val="21"/>
              </w:rPr>
              <w:t>包装标识（养分含量、含氯标识、警示语、名称中的禁用语</w:t>
            </w:r>
            <w:r>
              <w:rPr>
                <w:rFonts w:hint="default" w:ascii="Times New Roman" w:hAnsi="Times New Roman" w:cs="Times New Roman"/>
                <w:color w:val="auto"/>
                <w:kern w:val="0"/>
                <w:szCs w:val="21"/>
                <w:lang w:val="en-US" w:eastAsia="zh-CN"/>
              </w:rPr>
              <w:t>等</w:t>
            </w:r>
            <w:r>
              <w:rPr>
                <w:rFonts w:hint="default" w:ascii="Times New Roman" w:hAnsi="Times New Roman" w:cs="Times New Roman"/>
                <w:color w:val="auto"/>
                <w:kern w:val="0"/>
                <w:szCs w:val="21"/>
              </w:rPr>
              <w:t>）</w:t>
            </w:r>
          </w:p>
        </w:tc>
        <w:tc>
          <w:tcPr>
            <w:tcW w:w="3685" w:type="dxa"/>
            <w:tcBorders>
              <w:tl2br w:val="nil"/>
              <w:tr2bl w:val="nil"/>
            </w:tcBorders>
            <w:shd w:val="clear" w:color="auto" w:fill="FFFFFF"/>
            <w:noWrap w:val="0"/>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widowControl/>
              <w:jc w:val="center"/>
              <w:rPr>
                <w:rFonts w:hint="default" w:ascii="Times New Roman" w:hAnsi="Times New Roman" w:cs="Times New Roman"/>
                <w:kern w:val="0"/>
                <w:szCs w:val="21"/>
              </w:rPr>
            </w:pPr>
            <w:r>
              <w:rPr>
                <w:rFonts w:hint="default" w:ascii="Times New Roman" w:hAnsi="Times New Roman" w:cs="Times New Roman"/>
                <w:color w:val="000000"/>
                <w:kern w:val="0"/>
                <w:szCs w:val="21"/>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trPr>
        <w:tc>
          <w:tcPr>
            <w:tcW w:w="699" w:type="dxa"/>
            <w:tcBorders>
              <w:tl2br w:val="nil"/>
              <w:tr2bl w:val="nil"/>
            </w:tcBorders>
            <w:shd w:val="clear" w:color="auto" w:fill="FFFFFF"/>
            <w:noWrap/>
            <w:vAlign w:val="center"/>
          </w:tcPr>
          <w:p>
            <w:pPr>
              <w:pStyle w:val="12"/>
              <w:widowControl/>
              <w:ind w:firstLine="0" w:firstLineChars="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说明</w:t>
            </w:r>
          </w:p>
        </w:tc>
        <w:tc>
          <w:tcPr>
            <w:tcW w:w="8363" w:type="dxa"/>
            <w:gridSpan w:val="3"/>
            <w:tcBorders>
              <w:tl2br w:val="nil"/>
              <w:tr2bl w:val="nil"/>
            </w:tcBorders>
            <w:shd w:val="clear" w:color="auto" w:fill="FFFFFF"/>
            <w:noWrap/>
            <w:vAlign w:val="center"/>
          </w:tcPr>
          <w:p>
            <w:pPr>
              <w:numPr>
                <w:ilvl w:val="0"/>
                <w:numId w:val="2"/>
              </w:numPr>
              <w:jc w:val="both"/>
              <w:rPr>
                <w:rFonts w:hint="default" w:ascii="Times New Roman" w:hAnsi="Times New Roman" w:cs="Times New Roman"/>
                <w:kern w:val="0"/>
                <w:szCs w:val="21"/>
              </w:rPr>
            </w:pPr>
            <w:r>
              <w:rPr>
                <w:rFonts w:hint="default" w:ascii="Times New Roman" w:hAnsi="Times New Roman" w:cs="Times New Roman"/>
                <w:kern w:val="0"/>
                <w:szCs w:val="21"/>
              </w:rPr>
              <w:t>以钙镁磷肥等枸溶性磷肥为基础磷肥并在包装容器上注明为“枸溶性磷"时</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“水溶性</w:t>
            </w:r>
          </w:p>
          <w:p>
            <w:pPr>
              <w:numPr>
                <w:ilvl w:val="0"/>
                <w:numId w:val="0"/>
              </w:numPr>
              <w:jc w:val="both"/>
              <w:rPr>
                <w:rFonts w:hint="default" w:ascii="Times New Roman" w:hAnsi="Times New Roman" w:cs="Times New Roman"/>
                <w:kern w:val="0"/>
                <w:szCs w:val="21"/>
              </w:rPr>
            </w:pPr>
            <w:r>
              <w:rPr>
                <w:rFonts w:hint="default" w:ascii="Times New Roman" w:hAnsi="Times New Roman" w:cs="Times New Roman"/>
                <w:kern w:val="0"/>
                <w:szCs w:val="21"/>
              </w:rPr>
              <w:t>磷占有效磷百分率”项目不做检验和判定。</w:t>
            </w:r>
          </w:p>
          <w:p>
            <w:pPr>
              <w:numPr>
                <w:ilvl w:val="0"/>
                <w:numId w:val="2"/>
              </w:numPr>
              <w:jc w:val="left"/>
              <w:rPr>
                <w:rFonts w:hint="default" w:ascii="Times New Roman" w:hAnsi="Times New Roman" w:cs="Times New Roman"/>
                <w:kern w:val="0"/>
                <w:szCs w:val="21"/>
              </w:rPr>
            </w:pPr>
            <w:r>
              <w:rPr>
                <w:rFonts w:hint="default" w:ascii="Times New Roman" w:hAnsi="Times New Roman" w:cs="Times New Roman"/>
                <w:kern w:val="0"/>
                <w:szCs w:val="21"/>
              </w:rPr>
              <w:t>若为氮、钾二元肥料</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“水溶性磷占有效磷百分率”项目不做检验和判定。</w:t>
            </w:r>
          </w:p>
          <w:p>
            <w:pPr>
              <w:numPr>
                <w:ilvl w:val="0"/>
                <w:numId w:val="2"/>
              </w:numPr>
              <w:jc w:val="left"/>
              <w:rPr>
                <w:rFonts w:hint="default" w:ascii="Times New Roman" w:hAnsi="Times New Roman" w:cs="Times New Roman"/>
                <w:kern w:val="0"/>
                <w:szCs w:val="21"/>
              </w:rPr>
            </w:pPr>
            <w:r>
              <w:rPr>
                <w:rFonts w:hint="default" w:ascii="Times New Roman" w:hAnsi="Times New Roman" w:cs="Times New Roman"/>
                <w:kern w:val="0"/>
                <w:szCs w:val="21"/>
              </w:rPr>
              <w:t>若为氮、磷二元肥料，“钾”项目不做检验和判定。</w:t>
            </w:r>
          </w:p>
          <w:p>
            <w:pPr>
              <w:jc w:val="left"/>
              <w:rPr>
                <w:rFonts w:hint="default" w:ascii="Times New Roman" w:hAnsi="Times New Roman" w:cs="Times New Roman"/>
                <w:kern w:val="0"/>
                <w:szCs w:val="21"/>
              </w:rPr>
            </w:pPr>
            <w:r>
              <w:rPr>
                <w:rFonts w:hint="default" w:ascii="Times New Roman" w:hAnsi="Times New Roman" w:cs="Times New Roman"/>
                <w:kern w:val="0"/>
                <w:szCs w:val="21"/>
              </w:rPr>
              <w:t>4、包装容器上标明“含硝态氮”时检测“硝态氮”项目。</w:t>
            </w:r>
          </w:p>
          <w:p>
            <w:pPr>
              <w:rPr>
                <w:rFonts w:hint="default" w:ascii="Times New Roman" w:hAnsi="Times New Roman" w:cs="Times New Roman"/>
                <w:kern w:val="0"/>
                <w:szCs w:val="21"/>
              </w:rPr>
            </w:pPr>
            <w:r>
              <w:rPr>
                <w:rFonts w:hint="default" w:ascii="Times New Roman" w:hAnsi="Times New Roman" w:cs="Times New Roman"/>
                <w:kern w:val="0"/>
                <w:szCs w:val="21"/>
              </w:rPr>
              <w:t>5、氯离子的质量分数大于 30.0%的产品</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应在包装容器上标明“含氯(高氯)”；标识“含氯(高氯)"的产品氯离子的质量分数可不做检验和判定。</w:t>
            </w:r>
          </w:p>
          <w:p>
            <w:pPr>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6</w:t>
            </w:r>
            <w:r>
              <w:rPr>
                <w:rFonts w:hint="default" w:ascii="Times New Roman" w:hAnsi="Times New Roman" w:cs="Times New Roman"/>
                <w:color w:val="000000" w:themeColor="text1"/>
                <w:kern w:val="0"/>
                <w:szCs w:val="21"/>
                <w14:textFill>
                  <w14:solidFill>
                    <w14:schemeClr w14:val="tx1"/>
                  </w14:solidFill>
                </w14:textFill>
              </w:rPr>
              <w:t>、包装容器上标明含钙、镁、硫时检测钙、镁、硫项目。</w:t>
            </w:r>
          </w:p>
          <w:p>
            <w:pPr>
              <w:rPr>
                <w:rFonts w:hint="default" w:ascii="Times New Roman" w:hAnsi="Times New Roman" w:cs="Times New Roman"/>
                <w:kern w:val="0"/>
                <w:szCs w:val="21"/>
              </w:rPr>
            </w:pPr>
            <w:r>
              <w:rPr>
                <w:rFonts w:hint="default" w:ascii="Times New Roman" w:hAnsi="Times New Roman" w:cs="Times New Roman"/>
                <w:color w:val="000000" w:themeColor="text1"/>
                <w:kern w:val="0"/>
                <w:szCs w:val="21"/>
                <w:lang w:val="en-US" w:eastAsia="zh-CN"/>
                <w14:textFill>
                  <w14:solidFill>
                    <w14:schemeClr w14:val="tx1"/>
                  </w14:solidFill>
                </w14:textFill>
              </w:rPr>
              <w:t>7</w:t>
            </w:r>
            <w:r>
              <w:rPr>
                <w:rFonts w:hint="default" w:ascii="Times New Roman" w:hAnsi="Times New Roman" w:cs="Times New Roman"/>
                <w:color w:val="000000" w:themeColor="text1"/>
                <w:kern w:val="0"/>
                <w:szCs w:val="21"/>
                <w14:textFill>
                  <w14:solidFill>
                    <w14:schemeClr w14:val="tx1"/>
                  </w14:solidFill>
                </w14:textFill>
              </w:rPr>
              <w:t>、包装容器上标明含铜、铁、锰、锌、硼、钼时检测铜、铁、锰、锌、硼、钼项目</w:t>
            </w:r>
            <w:r>
              <w:rPr>
                <w:rFonts w:hint="default" w:ascii="Times New Roman" w:hAnsi="Times New Roman"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14:textFill>
                  <w14:solidFill>
                    <w14:schemeClr w14:val="tx1"/>
                  </w14:solidFill>
                </w14:textFill>
              </w:rPr>
              <w:t>钼元素的质量分数不高于 0.5%。</w:t>
            </w:r>
          </w:p>
        </w:tc>
      </w:tr>
    </w:tbl>
    <w:p>
      <w:pPr>
        <w:snapToGrid w:val="0"/>
        <w:spacing w:line="440" w:lineRule="exact"/>
        <w:ind w:firstLine="420" w:firstLineChars="200"/>
        <w:jc w:val="left"/>
        <w:rPr>
          <w:rFonts w:hint="default" w:ascii="Times New Roman" w:hAnsi="Times New Roman" w:cs="Times New Roman"/>
          <w:color w:val="auto"/>
          <w:kern w:val="0"/>
          <w:szCs w:val="21"/>
          <w:lang w:val="en-US" w:eastAsia="zh-CN"/>
        </w:rPr>
      </w:pPr>
      <w:r>
        <w:rPr>
          <w:rFonts w:hint="default" w:ascii="Times New Roman" w:hAnsi="Times New Roman" w:cs="Times New Roman"/>
          <w:bCs/>
          <w:color w:val="auto"/>
          <w:szCs w:val="21"/>
          <w:lang w:val="en-US" w:eastAsia="zh-CN"/>
        </w:rPr>
        <w:t>注：序号7</w:t>
      </w:r>
      <w:r>
        <w:rPr>
          <w:rFonts w:hint="default" w:ascii="Times New Roman" w:hAnsi="Times New Roman" w:cs="Times New Roman"/>
          <w:color w:val="auto"/>
          <w:kern w:val="0"/>
          <w:szCs w:val="21"/>
        </w:rPr>
        <w:t>单一中量元素（以单质计）</w:t>
      </w:r>
      <w:r>
        <w:rPr>
          <w:rFonts w:hint="default" w:ascii="Times New Roman" w:hAnsi="Times New Roman" w:cs="Times New Roman"/>
          <w:color w:val="auto"/>
          <w:kern w:val="0"/>
          <w:szCs w:val="21"/>
          <w:lang w:eastAsia="zh-CN"/>
        </w:rPr>
        <w:t>、</w:t>
      </w:r>
      <w:r>
        <w:rPr>
          <w:rFonts w:hint="default" w:ascii="Times New Roman" w:hAnsi="Times New Roman" w:cs="Times New Roman"/>
          <w:color w:val="auto"/>
          <w:kern w:val="0"/>
          <w:szCs w:val="21"/>
          <w:lang w:val="en-US" w:eastAsia="zh-CN"/>
        </w:rPr>
        <w:t>序号8</w:t>
      </w:r>
      <w:r>
        <w:rPr>
          <w:rFonts w:hint="default" w:ascii="Times New Roman" w:hAnsi="Times New Roman" w:cs="Times New Roman"/>
          <w:color w:val="auto"/>
          <w:kern w:val="0"/>
          <w:szCs w:val="21"/>
        </w:rPr>
        <w:t>单一微量元素（以单质计）</w:t>
      </w:r>
      <w:r>
        <w:rPr>
          <w:rFonts w:hint="default" w:ascii="Times New Roman" w:hAnsi="Times New Roman" w:cs="Times New Roman"/>
          <w:color w:val="auto"/>
          <w:kern w:val="0"/>
          <w:szCs w:val="21"/>
          <w:lang w:eastAsia="zh-CN"/>
        </w:rPr>
        <w:t>，</w:t>
      </w:r>
      <w:r>
        <w:rPr>
          <w:rFonts w:hint="default" w:ascii="Times New Roman" w:hAnsi="Times New Roman" w:cs="Times New Roman"/>
          <w:color w:val="auto"/>
          <w:kern w:val="0"/>
          <w:szCs w:val="21"/>
          <w:lang w:val="en-US" w:eastAsia="zh-CN"/>
        </w:rPr>
        <w:t>仅适用于生产领域监督抽查时检测，流通领域监督抽查及专项抽查不检测。</w:t>
      </w:r>
    </w:p>
    <w:p>
      <w:pPr>
        <w:snapToGrid w:val="0"/>
        <w:spacing w:line="440" w:lineRule="exact"/>
        <w:ind w:firstLine="420" w:firstLineChars="200"/>
        <w:jc w:val="left"/>
        <w:rPr>
          <w:rFonts w:hint="default"/>
          <w:color w:val="FF0000"/>
          <w:kern w:val="0"/>
          <w:szCs w:val="21"/>
          <w:lang w:val="en-US" w:eastAsia="zh-CN"/>
        </w:rPr>
      </w:pPr>
    </w:p>
    <w:p>
      <w:pPr>
        <w:snapToGrid w:val="0"/>
        <w:spacing w:line="440" w:lineRule="exact"/>
        <w:jc w:val="center"/>
        <w:rPr>
          <w:rFonts w:hint="eastAsia" w:ascii="黑体" w:hAnsi="黑体" w:eastAsia="黑体" w:cs="黑体"/>
          <w:bCs/>
          <w:szCs w:val="21"/>
        </w:rPr>
      </w:pPr>
      <w:r>
        <w:rPr>
          <w:rFonts w:hint="eastAsia"/>
          <w:kern w:val="0"/>
          <w:szCs w:val="21"/>
        </w:rPr>
        <w:t>表2 掺</w:t>
      </w:r>
      <w:r>
        <w:rPr>
          <w:rFonts w:hint="default" w:ascii="Times New Roman" w:hAnsi="Times New Roman" w:cs="Times New Roman"/>
          <w:kern w:val="0"/>
          <w:szCs w:val="21"/>
        </w:rPr>
        <w:t>混肥料(BB肥)</w:t>
      </w:r>
    </w:p>
    <w:tbl>
      <w:tblPr>
        <w:tblStyle w:val="5"/>
        <w:tblW w:w="906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08"/>
        <w:gridCol w:w="1761"/>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699" w:type="dxa"/>
            <w:tcBorders>
              <w:tl2br w:val="nil"/>
              <w:tr2bl w:val="nil"/>
            </w:tcBorders>
            <w:noWrap w:val="0"/>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序号</w:t>
            </w:r>
          </w:p>
        </w:tc>
        <w:tc>
          <w:tcPr>
            <w:tcW w:w="3969" w:type="dxa"/>
            <w:gridSpan w:val="2"/>
            <w:tcBorders>
              <w:tl2br w:val="nil"/>
              <w:tr2bl w:val="nil"/>
            </w:tcBorders>
            <w:noWrap w:val="0"/>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检验项目</w:t>
            </w:r>
          </w:p>
        </w:tc>
        <w:tc>
          <w:tcPr>
            <w:tcW w:w="4394" w:type="dxa"/>
            <w:tcBorders>
              <w:tl2br w:val="nil"/>
              <w:tr2bl w:val="nil"/>
            </w:tcBorders>
            <w:noWrap w:val="0"/>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ascii="Times New Roman" w:hAnsi="Times New Roman" w:eastAsia="宋体"/>
                <w:kern w:val="0"/>
                <w:szCs w:val="21"/>
              </w:rPr>
            </w:pPr>
          </w:p>
        </w:tc>
        <w:tc>
          <w:tcPr>
            <w:tcW w:w="3969" w:type="dxa"/>
            <w:gridSpan w:val="2"/>
            <w:tcBorders>
              <w:tl2br w:val="nil"/>
              <w:tr2bl w:val="nil"/>
            </w:tcBorders>
            <w:noWrap w:val="0"/>
            <w:vAlign w:val="center"/>
          </w:tcPr>
          <w:p>
            <w:pPr>
              <w:widowControl/>
              <w:jc w:val="center"/>
              <w:rPr>
                <w:kern w:val="0"/>
                <w:szCs w:val="21"/>
              </w:rPr>
            </w:pPr>
            <w:r>
              <w:rPr>
                <w:kern w:val="0"/>
                <w:szCs w:val="21"/>
              </w:rPr>
              <w:t>总养分(N+P</w:t>
            </w:r>
            <w:r>
              <w:rPr>
                <w:kern w:val="0"/>
                <w:szCs w:val="21"/>
                <w:vertAlign w:val="subscript"/>
              </w:rPr>
              <w:t>2</w:t>
            </w:r>
            <w:r>
              <w:rPr>
                <w:kern w:val="0"/>
                <w:szCs w:val="21"/>
              </w:rPr>
              <w:t>O</w:t>
            </w:r>
            <w:r>
              <w:rPr>
                <w:kern w:val="0"/>
                <w:szCs w:val="21"/>
                <w:vertAlign w:val="subscript"/>
              </w:rPr>
              <w:t>5</w:t>
            </w:r>
            <w:r>
              <w:rPr>
                <w:kern w:val="0"/>
                <w:szCs w:val="21"/>
              </w:rPr>
              <w:t>+K</w:t>
            </w:r>
            <w:r>
              <w:rPr>
                <w:kern w:val="0"/>
                <w:szCs w:val="21"/>
                <w:vertAlign w:val="subscript"/>
              </w:rPr>
              <w:t>2</w:t>
            </w:r>
            <w:r>
              <w:rPr>
                <w:kern w:val="0"/>
                <w:szCs w:val="21"/>
              </w:rPr>
              <w:t>O)</w:t>
            </w:r>
          </w:p>
        </w:tc>
        <w:tc>
          <w:tcPr>
            <w:tcW w:w="4394" w:type="dxa"/>
            <w:tcBorders>
              <w:tl2br w:val="nil"/>
              <w:tr2bl w:val="nil"/>
            </w:tcBorders>
            <w:noWrap w:val="0"/>
            <w:vAlign w:val="center"/>
          </w:tcPr>
          <w:p>
            <w:pPr>
              <w:widowControl/>
              <w:jc w:val="center"/>
              <w:rPr>
                <w:kern w:val="0"/>
                <w:szCs w:val="21"/>
              </w:rPr>
            </w:pPr>
            <w:r>
              <w:rPr>
                <w:kern w:val="0"/>
                <w:szCs w:val="21"/>
              </w:rPr>
              <w:t>GB/T 21633-2020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ascii="Times New Roman" w:hAnsi="Times New Roman" w:eastAsia="宋体"/>
                <w:kern w:val="0"/>
                <w:szCs w:val="21"/>
              </w:rPr>
            </w:pPr>
          </w:p>
        </w:tc>
        <w:tc>
          <w:tcPr>
            <w:tcW w:w="3969" w:type="dxa"/>
            <w:gridSpan w:val="2"/>
            <w:tcBorders>
              <w:tl2br w:val="nil"/>
              <w:tr2bl w:val="nil"/>
            </w:tcBorders>
            <w:noWrap w:val="0"/>
            <w:vAlign w:val="center"/>
          </w:tcPr>
          <w:p>
            <w:pPr>
              <w:widowControl/>
              <w:jc w:val="center"/>
              <w:rPr>
                <w:kern w:val="0"/>
                <w:szCs w:val="21"/>
              </w:rPr>
            </w:pPr>
            <w:r>
              <w:rPr>
                <w:kern w:val="0"/>
                <w:szCs w:val="21"/>
              </w:rPr>
              <w:t>总氮(N)</w:t>
            </w:r>
          </w:p>
        </w:tc>
        <w:tc>
          <w:tcPr>
            <w:tcW w:w="4394" w:type="dxa"/>
            <w:tcBorders>
              <w:tl2br w:val="nil"/>
              <w:tr2bl w:val="nil"/>
            </w:tcBorders>
            <w:noWrap w:val="0"/>
            <w:vAlign w:val="center"/>
          </w:tcPr>
          <w:p>
            <w:pPr>
              <w:widowControl/>
              <w:jc w:val="center"/>
              <w:rPr>
                <w:kern w:val="0"/>
                <w:szCs w:val="21"/>
              </w:rPr>
            </w:pPr>
            <w:r>
              <w:rPr>
                <w:kern w:val="0"/>
                <w:szCs w:val="21"/>
              </w:rPr>
              <w:t>GB/T 8572-2010</w:t>
            </w:r>
          </w:p>
          <w:p>
            <w:pPr>
              <w:widowControl/>
              <w:jc w:val="center"/>
              <w:rPr>
                <w:kern w:val="0"/>
                <w:szCs w:val="21"/>
              </w:rPr>
            </w:pPr>
            <w:r>
              <w:rPr>
                <w:rFonts w:hint="eastAsia"/>
                <w:kern w:val="0"/>
                <w:szCs w:val="21"/>
              </w:rPr>
              <w:t>GB/T 22923-2008</w:t>
            </w:r>
          </w:p>
          <w:p>
            <w:pPr>
              <w:widowControl/>
              <w:ind w:firstLine="1260" w:firstLineChars="600"/>
              <w:rPr>
                <w:kern w:val="0"/>
                <w:szCs w:val="21"/>
              </w:rPr>
            </w:pPr>
            <w:r>
              <w:rPr>
                <w:kern w:val="0"/>
                <w:szCs w:val="21"/>
                <w:lang w:bidi="ar"/>
              </w:rPr>
              <w:t>NY/T 2542-</w:t>
            </w:r>
            <w:r>
              <w:rPr>
                <w:rFonts w:hint="eastAsia"/>
                <w:kern w:val="0"/>
                <w:szCs w:val="21"/>
                <w:lang w:bidi="ar"/>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有效磷(P</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r>
              <w:rPr>
                <w:rFonts w:hint="default" w:ascii="Times New Roman" w:hAnsi="Times New Roman" w:cs="Times New Roman"/>
                <w:kern w:val="0"/>
                <w:szCs w:val="21"/>
                <w:vertAlign w:val="subscript"/>
              </w:rPr>
              <w:t>5</w:t>
            </w:r>
            <w:r>
              <w:rPr>
                <w:rFonts w:hint="default" w:ascii="Times New Roman" w:hAnsi="Times New Roman" w:cs="Times New Roman"/>
                <w:kern w:val="0"/>
                <w:szCs w:val="21"/>
              </w:rPr>
              <w:t>)</w:t>
            </w:r>
          </w:p>
        </w:tc>
        <w:tc>
          <w:tcPr>
            <w:tcW w:w="4394" w:type="dxa"/>
            <w:tcBorders>
              <w:tl2br w:val="nil"/>
              <w:tr2bl w:val="nil"/>
            </w:tcBorders>
            <w:noWrap w:val="0"/>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p>
            <w:pPr>
              <w:jc w:val="center"/>
              <w:rPr>
                <w:rFonts w:hint="default" w:ascii="Times New Roman" w:hAnsi="Times New Roman" w:cs="Times New Roman"/>
                <w:kern w:val="0"/>
                <w:szCs w:val="21"/>
              </w:rPr>
            </w:pPr>
            <w:r>
              <w:rPr>
                <w:rFonts w:hint="default" w:ascii="Times New Roman" w:hAnsi="Times New Roman" w:cs="Times New Roman"/>
                <w:kern w:val="0"/>
                <w:szCs w:val="21"/>
              </w:rPr>
              <w:t>GB/T 8573-2017</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22923-2008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氧化钾(K</w:t>
            </w:r>
            <w:r>
              <w:rPr>
                <w:rFonts w:hint="default" w:ascii="Times New Roman" w:hAnsi="Times New Roman" w:cs="Times New Roman"/>
                <w:kern w:val="0"/>
                <w:szCs w:val="21"/>
                <w:vertAlign w:val="subscript"/>
              </w:rPr>
              <w:t>2</w:t>
            </w:r>
            <w:r>
              <w:rPr>
                <w:rFonts w:hint="default" w:ascii="Times New Roman" w:hAnsi="Times New Roman" w:cs="Times New Roman"/>
                <w:kern w:val="0"/>
                <w:szCs w:val="21"/>
              </w:rPr>
              <w:t>O)</w:t>
            </w:r>
          </w:p>
        </w:tc>
        <w:tc>
          <w:tcPr>
            <w:tcW w:w="4394" w:type="dxa"/>
            <w:tcBorders>
              <w:tl2br w:val="nil"/>
              <w:tr2bl w:val="nil"/>
            </w:tcBorders>
            <w:noWrap w:val="0"/>
            <w:vAlign w:val="center"/>
          </w:tcPr>
          <w:p>
            <w:pPr>
              <w:widowControl/>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kern w:val="0"/>
                <w:szCs w:val="21"/>
              </w:rPr>
              <w:t>GB/T 857</w:t>
            </w:r>
            <w:r>
              <w:rPr>
                <w:rFonts w:hint="default" w:ascii="Times New Roman" w:hAnsi="Times New Roman" w:cs="Times New Roman"/>
                <w:color w:val="auto"/>
                <w:kern w:val="0"/>
                <w:szCs w:val="21"/>
              </w:rPr>
              <w:t>4-20</w:t>
            </w:r>
            <w:r>
              <w:rPr>
                <w:rFonts w:hint="default" w:ascii="Times New Roman" w:hAnsi="Times New Roman" w:cs="Times New Roman"/>
                <w:color w:val="auto"/>
                <w:kern w:val="0"/>
                <w:szCs w:val="21"/>
                <w:lang w:val="en-US" w:eastAsia="zh-CN"/>
              </w:rPr>
              <w:t>24</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22923-2008</w:t>
            </w:r>
          </w:p>
          <w:p>
            <w:pPr>
              <w:jc w:val="center"/>
              <w:rPr>
                <w:rFonts w:hint="default" w:ascii="Times New Roman" w:hAnsi="Times New Roman" w:cs="Times New Roman"/>
                <w:kern w:val="0"/>
                <w:szCs w:val="21"/>
              </w:rPr>
            </w:pPr>
            <w:r>
              <w:rPr>
                <w:rFonts w:hint="default" w:ascii="Times New Roman" w:hAnsi="Times New Roman" w:cs="Times New Roman"/>
                <w:kern w:val="0"/>
                <w:szCs w:val="21"/>
                <w:lang w:bidi="ar"/>
              </w:rPr>
              <w:t>NY/T 2540- 2014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水溶磷占有效磷的百分率</w:t>
            </w:r>
          </w:p>
        </w:tc>
        <w:tc>
          <w:tcPr>
            <w:tcW w:w="4394" w:type="dxa"/>
            <w:tcBorders>
              <w:tl2br w:val="nil"/>
              <w:tr2bl w:val="nil"/>
            </w:tcBorders>
            <w:noWrap w:val="0"/>
            <w:vAlign w:val="center"/>
          </w:tcPr>
          <w:p>
            <w:pPr>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vMerge w:val="restart"/>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2208" w:type="dxa"/>
            <w:vMerge w:val="restart"/>
            <w:tcBorders>
              <w:tl2br w:val="nil"/>
              <w:tr2bl w:val="nil"/>
            </w:tcBorders>
            <w:noWrap w:val="0"/>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单一中量元素（以单质计）</w:t>
            </w:r>
          </w:p>
          <w:p>
            <w:pPr>
              <w:widowControl/>
              <w:jc w:val="center"/>
              <w:rPr>
                <w:rFonts w:hint="default" w:ascii="Times New Roman" w:hAnsi="Times New Roman" w:cs="Times New Roman"/>
                <w:color w:val="auto"/>
                <w:kern w:val="0"/>
                <w:szCs w:val="21"/>
              </w:rPr>
            </w:pPr>
          </w:p>
        </w:tc>
        <w:tc>
          <w:tcPr>
            <w:tcW w:w="1761" w:type="dxa"/>
            <w:tcBorders>
              <w:tl2br w:val="nil"/>
              <w:tr2bl w:val="nil"/>
            </w:tcBorders>
            <w:noWrap w:val="0"/>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有效钙</w:t>
            </w:r>
          </w:p>
        </w:tc>
        <w:tc>
          <w:tcPr>
            <w:tcW w:w="4394" w:type="dxa"/>
            <w:vMerge w:val="restart"/>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15063-2020</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19203-2003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vMerge w:val="continue"/>
            <w:tcBorders>
              <w:tl2br w:val="nil"/>
              <w:tr2bl w:val="nil"/>
            </w:tcBorders>
            <w:noWrap w:val="0"/>
            <w:vAlign w:val="center"/>
          </w:tcPr>
          <w:p>
            <w:pPr>
              <w:pStyle w:val="12"/>
              <w:widowControl/>
              <w:ind w:firstLineChars="0"/>
              <w:jc w:val="center"/>
              <w:rPr>
                <w:rFonts w:hint="default" w:ascii="Times New Roman" w:hAnsi="Times New Roman" w:eastAsia="宋体" w:cs="Times New Roman"/>
                <w:kern w:val="0"/>
                <w:szCs w:val="21"/>
              </w:rPr>
            </w:pPr>
          </w:p>
        </w:tc>
        <w:tc>
          <w:tcPr>
            <w:tcW w:w="2208" w:type="dxa"/>
            <w:vMerge w:val="continue"/>
            <w:tcBorders>
              <w:tl2br w:val="nil"/>
              <w:tr2bl w:val="nil"/>
            </w:tcBorders>
            <w:noWrap w:val="0"/>
            <w:vAlign w:val="center"/>
          </w:tcPr>
          <w:p>
            <w:pPr>
              <w:widowControl/>
              <w:jc w:val="center"/>
              <w:rPr>
                <w:rFonts w:hint="default" w:ascii="Times New Roman" w:hAnsi="Times New Roman" w:cs="Times New Roman"/>
                <w:color w:val="auto"/>
                <w:kern w:val="0"/>
                <w:szCs w:val="21"/>
              </w:rPr>
            </w:pPr>
          </w:p>
        </w:tc>
        <w:tc>
          <w:tcPr>
            <w:tcW w:w="1761" w:type="dxa"/>
            <w:tcBorders>
              <w:tl2br w:val="nil"/>
              <w:tr2bl w:val="nil"/>
            </w:tcBorders>
            <w:noWrap w:val="0"/>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有效镁</w:t>
            </w:r>
          </w:p>
        </w:tc>
        <w:tc>
          <w:tcPr>
            <w:tcW w:w="4394" w:type="dxa"/>
            <w:vMerge w:val="continue"/>
            <w:tcBorders>
              <w:tl2br w:val="nil"/>
              <w:tr2bl w:val="nil"/>
            </w:tcBorders>
            <w:noWrap w:val="0"/>
            <w:vAlign w:val="center"/>
          </w:tcPr>
          <w:p>
            <w:pPr>
              <w:widowControl/>
              <w:jc w:val="center"/>
              <w:rPr>
                <w:rFonts w:hint="default" w:ascii="Times New Roman" w:hAnsi="Times New Roman"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vMerge w:val="continue"/>
            <w:tcBorders>
              <w:tl2br w:val="nil"/>
              <w:tr2bl w:val="nil"/>
            </w:tcBorders>
            <w:noWrap w:val="0"/>
            <w:vAlign w:val="center"/>
          </w:tcPr>
          <w:p>
            <w:pPr>
              <w:pStyle w:val="12"/>
              <w:widowControl/>
              <w:ind w:firstLineChars="0"/>
              <w:jc w:val="center"/>
              <w:rPr>
                <w:rFonts w:hint="default" w:ascii="Times New Roman" w:hAnsi="Times New Roman" w:eastAsia="宋体" w:cs="Times New Roman"/>
                <w:kern w:val="0"/>
                <w:szCs w:val="21"/>
              </w:rPr>
            </w:pPr>
          </w:p>
        </w:tc>
        <w:tc>
          <w:tcPr>
            <w:tcW w:w="2208" w:type="dxa"/>
            <w:vMerge w:val="continue"/>
            <w:tcBorders>
              <w:tl2br w:val="nil"/>
              <w:tr2bl w:val="nil"/>
            </w:tcBorders>
            <w:noWrap w:val="0"/>
            <w:vAlign w:val="center"/>
          </w:tcPr>
          <w:p>
            <w:pPr>
              <w:widowControl/>
              <w:jc w:val="center"/>
              <w:rPr>
                <w:rFonts w:hint="default" w:ascii="Times New Roman" w:hAnsi="Times New Roman" w:cs="Times New Roman"/>
                <w:color w:val="auto"/>
                <w:kern w:val="0"/>
                <w:szCs w:val="21"/>
              </w:rPr>
            </w:pPr>
          </w:p>
        </w:tc>
        <w:tc>
          <w:tcPr>
            <w:tcW w:w="1761" w:type="dxa"/>
            <w:tcBorders>
              <w:tl2br w:val="nil"/>
              <w:tr2bl w:val="nil"/>
            </w:tcBorders>
            <w:noWrap w:val="0"/>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总硫</w:t>
            </w:r>
          </w:p>
        </w:tc>
        <w:tc>
          <w:tcPr>
            <w:tcW w:w="4394" w:type="dxa"/>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19203-2003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单一微量元素（以单质计）</w:t>
            </w:r>
          </w:p>
        </w:tc>
        <w:tc>
          <w:tcPr>
            <w:tcW w:w="4394" w:type="dxa"/>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34764-2017</w:t>
            </w:r>
          </w:p>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 GB/T 14540-2003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粒度(2.00mm~4.75mm)</w:t>
            </w:r>
          </w:p>
        </w:tc>
        <w:tc>
          <w:tcPr>
            <w:tcW w:w="4394" w:type="dxa"/>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24891-2010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氯离子</w:t>
            </w:r>
          </w:p>
        </w:tc>
        <w:tc>
          <w:tcPr>
            <w:tcW w:w="4394" w:type="dxa"/>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24890-2010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总砷</w:t>
            </w:r>
          </w:p>
        </w:tc>
        <w:tc>
          <w:tcPr>
            <w:tcW w:w="4394"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总镉</w:t>
            </w:r>
          </w:p>
        </w:tc>
        <w:tc>
          <w:tcPr>
            <w:tcW w:w="4394"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总铅</w:t>
            </w:r>
          </w:p>
        </w:tc>
        <w:tc>
          <w:tcPr>
            <w:tcW w:w="4394"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总铬</w:t>
            </w:r>
          </w:p>
        </w:tc>
        <w:tc>
          <w:tcPr>
            <w:tcW w:w="4394"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shd w:val="clear" w:color="auto" w:fill="auto"/>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总汞</w:t>
            </w:r>
          </w:p>
        </w:tc>
        <w:tc>
          <w:tcPr>
            <w:tcW w:w="4394" w:type="dxa"/>
            <w:tcBorders>
              <w:tl2br w:val="nil"/>
              <w:tr2bl w:val="nil"/>
            </w:tcBorders>
            <w:shd w:val="clear" w:color="auto" w:fill="FFFFFF"/>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总铊</w:t>
            </w:r>
          </w:p>
        </w:tc>
        <w:tc>
          <w:tcPr>
            <w:tcW w:w="4394" w:type="dxa"/>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kern w:val="0"/>
                <w:szCs w:val="21"/>
              </w:rPr>
              <w:t>缩二脲</w:t>
            </w:r>
          </w:p>
        </w:tc>
        <w:tc>
          <w:tcPr>
            <w:tcW w:w="4394" w:type="dxa"/>
            <w:tcBorders>
              <w:tl2br w:val="nil"/>
              <w:tr2bl w:val="nil"/>
            </w:tcBorders>
            <w:noWrap w:val="0"/>
            <w:vAlign w:val="center"/>
          </w:tcPr>
          <w:p>
            <w:pPr>
              <w:widowControl/>
              <w:jc w:val="center"/>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rPr>
              <w:t>GB/T 229</w:t>
            </w:r>
            <w:r>
              <w:rPr>
                <w:rFonts w:hint="default" w:ascii="Times New Roman" w:hAnsi="Times New Roman" w:cs="Times New Roman"/>
                <w:color w:val="auto"/>
                <w:kern w:val="0"/>
                <w:szCs w:val="21"/>
              </w:rPr>
              <w:t>24-20</w:t>
            </w:r>
            <w:r>
              <w:rPr>
                <w:rFonts w:hint="default" w:ascii="Times New Roman" w:hAnsi="Times New Roman" w:cs="Times New Roman"/>
                <w:color w:val="auto"/>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99" w:type="dxa"/>
            <w:tcBorders>
              <w:tl2br w:val="nil"/>
              <w:tr2bl w:val="nil"/>
            </w:tcBorders>
            <w:noWrap w:val="0"/>
            <w:vAlign w:val="center"/>
          </w:tcPr>
          <w:p>
            <w:pPr>
              <w:pStyle w:val="12"/>
              <w:widowControl/>
              <w:numPr>
                <w:ilvl w:val="0"/>
                <w:numId w:val="3"/>
              </w:numPr>
              <w:ind w:firstLineChars="0"/>
              <w:jc w:val="center"/>
              <w:rPr>
                <w:rFonts w:hint="default" w:ascii="Times New Roman" w:hAnsi="Times New Roman" w:eastAsia="宋体" w:cs="Times New Roman"/>
                <w:kern w:val="0"/>
                <w:szCs w:val="21"/>
              </w:rPr>
            </w:pPr>
          </w:p>
        </w:tc>
        <w:tc>
          <w:tcPr>
            <w:tcW w:w="3969" w:type="dxa"/>
            <w:gridSpan w:val="2"/>
            <w:tcBorders>
              <w:tl2br w:val="nil"/>
              <w:tr2bl w:val="nil"/>
            </w:tcBorders>
            <w:noWrap w:val="0"/>
            <w:vAlign w:val="center"/>
          </w:tcPr>
          <w:p>
            <w:pPr>
              <w:widowControl/>
              <w:jc w:val="center"/>
              <w:rPr>
                <w:rFonts w:hint="default" w:ascii="Times New Roman" w:hAnsi="Times New Roman" w:cs="Times New Roman"/>
                <w:kern w:val="0"/>
                <w:szCs w:val="21"/>
              </w:rPr>
            </w:pPr>
            <w:r>
              <w:rPr>
                <w:rFonts w:hint="default" w:ascii="Times New Roman" w:hAnsi="Times New Roman" w:cs="Times New Roman"/>
                <w:color w:val="000000"/>
                <w:kern w:val="0"/>
                <w:szCs w:val="21"/>
              </w:rPr>
              <w:t>包装标识（养分含量、含氯标识、其他、名称中的禁用</w:t>
            </w:r>
            <w:r>
              <w:rPr>
                <w:rFonts w:hint="default" w:ascii="Times New Roman" w:hAnsi="Times New Roman" w:cs="Times New Roman"/>
                <w:color w:val="auto"/>
                <w:kern w:val="0"/>
                <w:szCs w:val="21"/>
              </w:rPr>
              <w:t>语</w:t>
            </w:r>
            <w:r>
              <w:rPr>
                <w:rFonts w:hint="default" w:ascii="Times New Roman" w:hAnsi="Times New Roman" w:cs="Times New Roman"/>
                <w:color w:val="auto"/>
                <w:kern w:val="0"/>
                <w:szCs w:val="21"/>
                <w:lang w:val="en-US" w:eastAsia="zh-CN"/>
              </w:rPr>
              <w:t>等</w:t>
            </w:r>
            <w:r>
              <w:rPr>
                <w:rFonts w:hint="default" w:ascii="Times New Roman" w:hAnsi="Times New Roman" w:cs="Times New Roman"/>
                <w:color w:val="auto"/>
                <w:kern w:val="0"/>
                <w:szCs w:val="21"/>
              </w:rPr>
              <w:t>）</w:t>
            </w:r>
          </w:p>
        </w:tc>
        <w:tc>
          <w:tcPr>
            <w:tcW w:w="4394" w:type="dxa"/>
            <w:tcBorders>
              <w:tl2br w:val="nil"/>
              <w:tr2bl w:val="nil"/>
            </w:tcBorders>
            <w:noWrap w:val="0"/>
            <w:vAlign w:val="center"/>
          </w:tcPr>
          <w:p>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GB 18382—2021</w:t>
            </w:r>
          </w:p>
          <w:p>
            <w:pPr>
              <w:widowControl/>
              <w:jc w:val="center"/>
              <w:rPr>
                <w:rFonts w:hint="default" w:ascii="Times New Roman" w:hAnsi="Times New Roman" w:cs="Times New Roman"/>
                <w:kern w:val="0"/>
                <w:szCs w:val="21"/>
              </w:rPr>
            </w:pPr>
            <w:r>
              <w:rPr>
                <w:rFonts w:hint="default" w:ascii="Times New Roman" w:hAnsi="Times New Roman" w:cs="Times New Roman"/>
                <w:color w:val="000000"/>
                <w:kern w:val="0"/>
                <w:szCs w:val="21"/>
              </w:rPr>
              <w:t>GB/T 21633—2020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4" w:hRule="atLeast"/>
        </w:trPr>
        <w:tc>
          <w:tcPr>
            <w:tcW w:w="699" w:type="dxa"/>
            <w:tcBorders>
              <w:tl2br w:val="nil"/>
              <w:tr2bl w:val="nil"/>
            </w:tcBorders>
            <w:noWrap w:val="0"/>
            <w:vAlign w:val="center"/>
          </w:tcPr>
          <w:p>
            <w:pPr>
              <w:pStyle w:val="12"/>
              <w:widowControl/>
              <w:ind w:firstLine="0" w:firstLineChars="0"/>
              <w:rPr>
                <w:rFonts w:ascii="Times New Roman" w:hAnsi="Times New Roman" w:eastAsia="宋体"/>
                <w:kern w:val="0"/>
                <w:szCs w:val="21"/>
              </w:rPr>
            </w:pPr>
            <w:r>
              <w:rPr>
                <w:rFonts w:hint="eastAsia" w:ascii="Times New Roman" w:hAnsi="Times New Roman" w:eastAsia="宋体"/>
                <w:kern w:val="0"/>
                <w:szCs w:val="21"/>
              </w:rPr>
              <w:t>说明</w:t>
            </w:r>
          </w:p>
        </w:tc>
        <w:tc>
          <w:tcPr>
            <w:tcW w:w="8363" w:type="dxa"/>
            <w:gridSpan w:val="3"/>
            <w:tcBorders>
              <w:tl2br w:val="nil"/>
              <w:tr2bl w:val="nil"/>
            </w:tcBorders>
            <w:noWrap w:val="0"/>
            <w:vAlign w:val="center"/>
          </w:tcPr>
          <w:p>
            <w:pPr>
              <w:widowControl/>
              <w:numPr>
                <w:numId w:val="0"/>
              </w:numPr>
              <w:jc w:val="left"/>
              <w:rPr>
                <w:rFonts w:hint="default" w:ascii="Times New Roman" w:hAnsi="Times New Roman" w:cs="Times New Roman"/>
                <w:kern w:val="0"/>
                <w:szCs w:val="21"/>
              </w:rPr>
            </w:pPr>
            <w:r>
              <w:rPr>
                <w:rFonts w:hint="default" w:ascii="Times New Roman" w:hAnsi="Times New Roman" w:cs="Times New Roman"/>
                <w:kern w:val="0"/>
                <w:szCs w:val="21"/>
                <w:lang w:val="en-US" w:eastAsia="zh-CN"/>
              </w:rPr>
              <w:t>1、</w:t>
            </w:r>
            <w:r>
              <w:rPr>
                <w:rFonts w:hint="default" w:ascii="Times New Roman" w:hAnsi="Times New Roman" w:cs="Times New Roman"/>
                <w:kern w:val="0"/>
                <w:szCs w:val="21"/>
              </w:rPr>
              <w:t>以钙镁磷肥等枸溶性磷肥为基础磷肥并在包装容器上注明为“枸溶性磷”时</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“水溶性磷占有效磷百分率”项目不做检验和判定。</w:t>
            </w:r>
          </w:p>
          <w:p>
            <w:pPr>
              <w:widowControl/>
              <w:numPr>
                <w:numId w:val="0"/>
              </w:numPr>
              <w:jc w:val="left"/>
              <w:rPr>
                <w:rFonts w:hint="default" w:ascii="Times New Roman" w:hAnsi="Times New Roman" w:cs="Times New Roman"/>
                <w:kern w:val="0"/>
                <w:szCs w:val="21"/>
              </w:rPr>
            </w:pPr>
            <w:r>
              <w:rPr>
                <w:rFonts w:hint="default" w:ascii="Times New Roman" w:hAnsi="Times New Roman" w:cs="Times New Roman"/>
                <w:kern w:val="0"/>
                <w:szCs w:val="21"/>
                <w:lang w:val="en-US" w:eastAsia="zh-CN"/>
              </w:rPr>
              <w:t>2、</w:t>
            </w:r>
            <w:r>
              <w:rPr>
                <w:rFonts w:hint="default" w:ascii="Times New Roman" w:hAnsi="Times New Roman" w:cs="Times New Roman"/>
                <w:kern w:val="0"/>
                <w:szCs w:val="21"/>
              </w:rPr>
              <w:t>若为氮、钾二元肥料,“水溶性磷占有效磷百分率”项目不做检验和判定。</w:t>
            </w:r>
          </w:p>
          <w:p>
            <w:pPr>
              <w:jc w:val="left"/>
              <w:rPr>
                <w:rFonts w:hint="default" w:ascii="Times New Roman" w:hAnsi="Times New Roman" w:cs="Times New Roman"/>
                <w:kern w:val="0"/>
                <w:szCs w:val="21"/>
              </w:rPr>
            </w:pPr>
            <w:r>
              <w:rPr>
                <w:rFonts w:hint="default" w:ascii="Times New Roman" w:hAnsi="Times New Roman" w:cs="Times New Roman"/>
                <w:kern w:val="0"/>
                <w:szCs w:val="21"/>
              </w:rPr>
              <w:t>3、为氮、磷二元肥料，“钾”项目不做检验和判定。</w:t>
            </w:r>
          </w:p>
          <w:p>
            <w:pPr>
              <w:widowControl/>
              <w:jc w:val="left"/>
              <w:rPr>
                <w:rFonts w:hint="default" w:ascii="Times New Roman" w:hAnsi="Times New Roman" w:cs="Times New Roman"/>
                <w:kern w:val="0"/>
                <w:szCs w:val="21"/>
              </w:rPr>
            </w:pPr>
            <w:r>
              <w:rPr>
                <w:rFonts w:hint="default" w:ascii="Times New Roman" w:hAnsi="Times New Roman" w:cs="Times New Roman"/>
                <w:kern w:val="0"/>
                <w:szCs w:val="21"/>
              </w:rPr>
              <w:t>4、氯离子的质量分数大于 30.0%的产品</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应在包装袋上标明“含氯(高氯)”</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标明“含氯(高氯)”的产品氯离子的质量分数可不做检测和判定。</w:t>
            </w:r>
          </w:p>
          <w:p>
            <w:pP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5、包装容器上标明含钙、镁、硫时检测钙、镁、硫项目。</w:t>
            </w:r>
          </w:p>
          <w:p>
            <w:pPr>
              <w:widowControl/>
              <w:jc w:val="left"/>
              <w:rPr>
                <w:kern w:val="0"/>
                <w:szCs w:val="21"/>
              </w:rPr>
            </w:pPr>
            <w:r>
              <w:rPr>
                <w:rFonts w:hint="default" w:ascii="Times New Roman" w:hAnsi="Times New Roman" w:cs="Times New Roman"/>
                <w:color w:val="auto"/>
                <w:kern w:val="0"/>
                <w:szCs w:val="21"/>
              </w:rPr>
              <w:t>6、包装容器上标明含铜、铁、锰、锌、硼、钼时检测铜、铁、锰、锌、硼、钼项目</w:t>
            </w:r>
            <w:r>
              <w:rPr>
                <w:rFonts w:hint="default" w:ascii="Times New Roman" w:hAnsi="Times New Roman" w:cs="Times New Roman"/>
                <w:color w:val="auto"/>
                <w:kern w:val="0"/>
                <w:szCs w:val="21"/>
                <w:lang w:eastAsia="zh-CN"/>
              </w:rPr>
              <w:t>，</w:t>
            </w:r>
            <w:r>
              <w:rPr>
                <w:rFonts w:hint="default" w:ascii="Times New Roman" w:hAnsi="Times New Roman" w:cs="Times New Roman"/>
                <w:color w:val="auto"/>
                <w:kern w:val="0"/>
                <w:szCs w:val="21"/>
              </w:rPr>
              <w:t>钼元素的质量分数不高于 0.5%。</w:t>
            </w:r>
          </w:p>
        </w:tc>
      </w:tr>
    </w:tbl>
    <w:p>
      <w:pPr>
        <w:snapToGrid w:val="0"/>
        <w:spacing w:line="440" w:lineRule="exact"/>
        <w:ind w:firstLine="420" w:firstLineChars="200"/>
        <w:jc w:val="left"/>
        <w:rPr>
          <w:rFonts w:hint="default" w:eastAsia="宋体"/>
          <w:bCs/>
          <w:color w:val="auto"/>
          <w:szCs w:val="21"/>
          <w:lang w:val="en-US" w:eastAsia="zh-CN"/>
        </w:rPr>
      </w:pPr>
      <w:r>
        <w:rPr>
          <w:rFonts w:hint="eastAsia"/>
          <w:bCs/>
          <w:color w:val="auto"/>
          <w:szCs w:val="21"/>
          <w:lang w:val="en-US" w:eastAsia="zh-CN"/>
        </w:rPr>
        <w:t>注：序号7</w:t>
      </w:r>
      <w:r>
        <w:rPr>
          <w:rFonts w:hint="eastAsia"/>
          <w:color w:val="auto"/>
          <w:kern w:val="0"/>
          <w:szCs w:val="21"/>
        </w:rPr>
        <w:t>单一中量元素（以单质计）</w:t>
      </w:r>
      <w:r>
        <w:rPr>
          <w:rFonts w:hint="eastAsia"/>
          <w:color w:val="auto"/>
          <w:kern w:val="0"/>
          <w:szCs w:val="21"/>
          <w:lang w:eastAsia="zh-CN"/>
        </w:rPr>
        <w:t>、</w:t>
      </w:r>
      <w:r>
        <w:rPr>
          <w:rFonts w:hint="eastAsia"/>
          <w:color w:val="auto"/>
          <w:kern w:val="0"/>
          <w:szCs w:val="21"/>
          <w:lang w:val="en-US" w:eastAsia="zh-CN"/>
        </w:rPr>
        <w:t>序号8</w:t>
      </w:r>
      <w:r>
        <w:rPr>
          <w:rFonts w:hint="eastAsia"/>
          <w:color w:val="auto"/>
          <w:kern w:val="0"/>
          <w:szCs w:val="21"/>
        </w:rPr>
        <w:t>单一微量元素（以单质计）</w:t>
      </w:r>
      <w:r>
        <w:rPr>
          <w:rFonts w:hint="eastAsia"/>
          <w:color w:val="auto"/>
          <w:kern w:val="0"/>
          <w:szCs w:val="21"/>
          <w:lang w:eastAsia="zh-CN"/>
        </w:rPr>
        <w:t>，</w:t>
      </w:r>
      <w:r>
        <w:rPr>
          <w:rFonts w:hint="eastAsia"/>
          <w:color w:val="auto"/>
          <w:kern w:val="0"/>
          <w:szCs w:val="21"/>
          <w:lang w:val="en-US" w:eastAsia="zh-CN"/>
        </w:rPr>
        <w:t>仅适用于生产领域监督抽查时检测，流通领域监督抽查及专项抽查不检测。</w:t>
      </w:r>
    </w:p>
    <w:p>
      <w:pPr>
        <w:adjustRightInd w:val="0"/>
        <w:snapToGrid w:val="0"/>
        <w:spacing w:line="440" w:lineRule="exact"/>
        <w:rPr>
          <w:rFonts w:hint="eastAsia" w:ascii="黑体" w:hAnsi="黑体" w:eastAsia="黑体" w:cs="黑体"/>
          <w:bCs/>
          <w:szCs w:val="21"/>
        </w:rPr>
      </w:pPr>
    </w:p>
    <w:p>
      <w:pPr>
        <w:adjustRightInd w:val="0"/>
        <w:snapToGrid w:val="0"/>
        <w:spacing w:line="440" w:lineRule="exact"/>
        <w:jc w:val="center"/>
        <w:rPr>
          <w:rFonts w:hint="eastAsia" w:ascii="黑体" w:hAnsi="黑体" w:eastAsia="黑体" w:cs="黑体"/>
          <w:bCs/>
          <w:szCs w:val="21"/>
        </w:rPr>
      </w:pPr>
      <w:r>
        <w:rPr>
          <w:rFonts w:hint="eastAsia"/>
          <w:kern w:val="0"/>
          <w:szCs w:val="21"/>
        </w:rPr>
        <w:t>表3 有机无机复混肥料</w:t>
      </w:r>
    </w:p>
    <w:tbl>
      <w:tblPr>
        <w:tblStyle w:val="5"/>
        <w:tblW w:w="9224"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3755"/>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trPr>
        <w:tc>
          <w:tcPr>
            <w:tcW w:w="699" w:type="dxa"/>
            <w:tcBorders>
              <w:tl2br w:val="nil"/>
              <w:tr2bl w:val="nil"/>
            </w:tcBorders>
            <w:shd w:val="clear" w:color="auto" w:fill="auto"/>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序号</w:t>
            </w:r>
          </w:p>
        </w:tc>
        <w:tc>
          <w:tcPr>
            <w:tcW w:w="3755" w:type="dxa"/>
            <w:tcBorders>
              <w:tl2br w:val="nil"/>
              <w:tr2bl w:val="nil"/>
            </w:tcBorders>
            <w:shd w:val="clear" w:color="auto" w:fill="auto"/>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检验项目</w:t>
            </w:r>
          </w:p>
        </w:tc>
        <w:tc>
          <w:tcPr>
            <w:tcW w:w="4770" w:type="dxa"/>
            <w:tcBorders>
              <w:tl2br w:val="nil"/>
              <w:tr2bl w:val="nil"/>
            </w:tcBorders>
            <w:shd w:val="clear" w:color="auto" w:fill="auto"/>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有机质含量</w:t>
            </w:r>
          </w:p>
        </w:tc>
        <w:tc>
          <w:tcPr>
            <w:tcW w:w="4770" w:type="dxa"/>
            <w:tcBorders>
              <w:tl2br w:val="nil"/>
              <w:tr2bl w:val="nil"/>
            </w:tcBorders>
            <w:shd w:val="clear" w:color="auto" w:fill="auto"/>
            <w:vAlign w:val="center"/>
          </w:tcPr>
          <w:p>
            <w:pPr>
              <w:widowControl/>
              <w:jc w:val="center"/>
              <w:rPr>
                <w:rFonts w:hint="eastAsia" w:eastAsia="宋体"/>
                <w:kern w:val="0"/>
                <w:szCs w:val="21"/>
                <w:lang w:eastAsia="zh-CN"/>
              </w:rPr>
            </w:pPr>
            <w:r>
              <w:rPr>
                <w:kern w:val="0"/>
                <w:szCs w:val="21"/>
              </w:rPr>
              <w:t>GB/T 18877-2020</w:t>
            </w:r>
            <w:r>
              <w:rPr>
                <w:rFonts w:hint="eastAsia"/>
                <w:kern w:val="0"/>
                <w:szCs w:val="21"/>
                <w:lang w:eastAsia="zh-CN"/>
              </w:rPr>
              <w:t>（</w:t>
            </w:r>
            <w:r>
              <w:rPr>
                <w:rFonts w:hint="eastAsia"/>
                <w:kern w:val="0"/>
                <w:szCs w:val="21"/>
                <w:lang w:val="en-US" w:eastAsia="zh-CN"/>
              </w:rPr>
              <w:t>含</w:t>
            </w:r>
            <w:r>
              <w:rPr>
                <w:rFonts w:hint="eastAsia"/>
                <w:kern w:val="0"/>
                <w:szCs w:val="21"/>
                <w:lang w:eastAsia="zh-CN"/>
              </w:rPr>
              <w:t>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总养分(N+P</w:t>
            </w:r>
            <w:r>
              <w:rPr>
                <w:kern w:val="0"/>
                <w:szCs w:val="21"/>
                <w:vertAlign w:val="subscript"/>
              </w:rPr>
              <w:t>2</w:t>
            </w:r>
            <w:r>
              <w:rPr>
                <w:kern w:val="0"/>
                <w:szCs w:val="21"/>
              </w:rPr>
              <w:t>O</w:t>
            </w:r>
            <w:r>
              <w:rPr>
                <w:kern w:val="0"/>
                <w:szCs w:val="21"/>
                <w:vertAlign w:val="subscript"/>
              </w:rPr>
              <w:t>5</w:t>
            </w:r>
            <w:r>
              <w:rPr>
                <w:kern w:val="0"/>
                <w:szCs w:val="21"/>
              </w:rPr>
              <w:t>+K</w:t>
            </w:r>
            <w:r>
              <w:rPr>
                <w:kern w:val="0"/>
                <w:szCs w:val="21"/>
                <w:vertAlign w:val="subscript"/>
              </w:rPr>
              <w:t>2</w:t>
            </w:r>
            <w:r>
              <w:rPr>
                <w:kern w:val="0"/>
                <w:szCs w:val="21"/>
              </w:rPr>
              <w:t>O)含量</w:t>
            </w:r>
          </w:p>
        </w:tc>
        <w:tc>
          <w:tcPr>
            <w:tcW w:w="4770" w:type="dxa"/>
            <w:tcBorders>
              <w:tl2br w:val="nil"/>
              <w:tr2bl w:val="nil"/>
            </w:tcBorders>
            <w:shd w:val="clear" w:color="auto" w:fill="auto"/>
            <w:vAlign w:val="center"/>
          </w:tcPr>
          <w:p>
            <w:pPr>
              <w:widowControl/>
              <w:jc w:val="center"/>
              <w:rPr>
                <w:kern w:val="0"/>
                <w:szCs w:val="21"/>
              </w:rPr>
            </w:pPr>
            <w:r>
              <w:rPr>
                <w:kern w:val="0"/>
                <w:szCs w:val="21"/>
              </w:rPr>
              <w:t>GB/T 18877-2020</w:t>
            </w:r>
            <w:r>
              <w:rPr>
                <w:rFonts w:hint="eastAsia"/>
                <w:kern w:val="0"/>
                <w:szCs w:val="21"/>
                <w:lang w:eastAsia="zh-CN" w:bidi="ar"/>
              </w:rPr>
              <w:t>（</w:t>
            </w:r>
            <w:r>
              <w:rPr>
                <w:rFonts w:hint="eastAsia"/>
                <w:kern w:val="0"/>
                <w:szCs w:val="21"/>
                <w:lang w:val="en-US" w:eastAsia="zh-CN"/>
              </w:rPr>
              <w:t>含</w:t>
            </w:r>
            <w:r>
              <w:rPr>
                <w:rFonts w:hint="eastAsia"/>
                <w:kern w:val="0"/>
                <w:szCs w:val="21"/>
                <w:lang w:eastAsia="zh-CN"/>
              </w:rPr>
              <w:t>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总氮(N)含量</w:t>
            </w:r>
          </w:p>
        </w:tc>
        <w:tc>
          <w:tcPr>
            <w:tcW w:w="4770" w:type="dxa"/>
            <w:tcBorders>
              <w:tl2br w:val="nil"/>
              <w:tr2bl w:val="nil"/>
            </w:tcBorders>
            <w:shd w:val="clear" w:color="auto" w:fill="auto"/>
            <w:vAlign w:val="center"/>
          </w:tcPr>
          <w:p>
            <w:pPr>
              <w:jc w:val="center"/>
              <w:rPr>
                <w:kern w:val="0"/>
                <w:szCs w:val="21"/>
              </w:rPr>
            </w:pPr>
            <w:r>
              <w:rPr>
                <w:kern w:val="0"/>
                <w:szCs w:val="21"/>
              </w:rPr>
              <w:t>GB/T 17767.1-2008</w:t>
            </w:r>
          </w:p>
          <w:p>
            <w:pPr>
              <w:jc w:val="center"/>
              <w:rPr>
                <w:kern w:val="0"/>
                <w:szCs w:val="21"/>
              </w:rPr>
            </w:pPr>
            <w:r>
              <w:rPr>
                <w:rFonts w:hint="eastAsia"/>
                <w:kern w:val="0"/>
                <w:szCs w:val="21"/>
              </w:rPr>
              <w:t>GB/T 22923-2008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有效五氧化二磷(P</w:t>
            </w:r>
            <w:r>
              <w:rPr>
                <w:kern w:val="0"/>
                <w:szCs w:val="21"/>
                <w:vertAlign w:val="subscript"/>
              </w:rPr>
              <w:t>2</w:t>
            </w:r>
            <w:r>
              <w:rPr>
                <w:kern w:val="0"/>
                <w:szCs w:val="21"/>
              </w:rPr>
              <w:t>O</w:t>
            </w:r>
            <w:r>
              <w:rPr>
                <w:kern w:val="0"/>
                <w:szCs w:val="21"/>
                <w:vertAlign w:val="subscript"/>
              </w:rPr>
              <w:t>5</w:t>
            </w:r>
            <w:r>
              <w:rPr>
                <w:kern w:val="0"/>
                <w:szCs w:val="21"/>
              </w:rPr>
              <w:t>)含量</w:t>
            </w:r>
          </w:p>
        </w:tc>
        <w:tc>
          <w:tcPr>
            <w:tcW w:w="4770" w:type="dxa"/>
            <w:tcBorders>
              <w:tl2br w:val="nil"/>
              <w:tr2bl w:val="nil"/>
            </w:tcBorders>
            <w:shd w:val="clear" w:color="auto" w:fill="auto"/>
            <w:vAlign w:val="center"/>
          </w:tcPr>
          <w:p>
            <w:pPr>
              <w:jc w:val="center"/>
              <w:rPr>
                <w:kern w:val="0"/>
                <w:szCs w:val="21"/>
              </w:rPr>
            </w:pPr>
            <w:r>
              <w:rPr>
                <w:kern w:val="0"/>
                <w:szCs w:val="21"/>
              </w:rPr>
              <w:t>GB/T 15063-2020</w:t>
            </w:r>
          </w:p>
          <w:p>
            <w:pPr>
              <w:jc w:val="center"/>
              <w:rPr>
                <w:kern w:val="0"/>
                <w:szCs w:val="21"/>
              </w:rPr>
            </w:pPr>
            <w:r>
              <w:rPr>
                <w:rFonts w:hint="eastAsia"/>
                <w:kern w:val="0"/>
                <w:szCs w:val="21"/>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总氧化钾(K</w:t>
            </w:r>
            <w:r>
              <w:rPr>
                <w:kern w:val="0"/>
                <w:szCs w:val="21"/>
                <w:vertAlign w:val="subscript"/>
              </w:rPr>
              <w:t>2</w:t>
            </w:r>
            <w:r>
              <w:rPr>
                <w:kern w:val="0"/>
                <w:szCs w:val="21"/>
              </w:rPr>
              <w:t>O)含量</w:t>
            </w:r>
          </w:p>
        </w:tc>
        <w:tc>
          <w:tcPr>
            <w:tcW w:w="4770" w:type="dxa"/>
            <w:tcBorders>
              <w:tl2br w:val="nil"/>
              <w:tr2bl w:val="nil"/>
            </w:tcBorders>
            <w:shd w:val="clear" w:color="auto" w:fill="auto"/>
            <w:vAlign w:val="center"/>
          </w:tcPr>
          <w:p>
            <w:pPr>
              <w:jc w:val="center"/>
              <w:rPr>
                <w:kern w:val="0"/>
                <w:szCs w:val="21"/>
              </w:rPr>
            </w:pPr>
            <w:r>
              <w:rPr>
                <w:kern w:val="0"/>
                <w:szCs w:val="21"/>
              </w:rPr>
              <w:t>GB/T 17767.3-2010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酸碱度(pH值)</w:t>
            </w:r>
          </w:p>
        </w:tc>
        <w:tc>
          <w:tcPr>
            <w:tcW w:w="4770" w:type="dxa"/>
            <w:tcBorders>
              <w:tl2br w:val="nil"/>
              <w:tr2bl w:val="nil"/>
            </w:tcBorders>
            <w:shd w:val="clear" w:color="auto" w:fill="auto"/>
            <w:vAlign w:val="center"/>
          </w:tcPr>
          <w:p>
            <w:pPr>
              <w:widowControl/>
              <w:jc w:val="center"/>
              <w:rPr>
                <w:kern w:val="0"/>
                <w:szCs w:val="21"/>
              </w:rPr>
            </w:pPr>
            <w:r>
              <w:rPr>
                <w:kern w:val="0"/>
                <w:szCs w:val="21"/>
              </w:rPr>
              <w:t>GB/T 18877-2020</w:t>
            </w:r>
            <w:r>
              <w:rPr>
                <w:rFonts w:hint="eastAsia"/>
                <w:kern w:val="0"/>
                <w:szCs w:val="21"/>
                <w:lang w:eastAsia="zh-CN" w:bidi="ar"/>
              </w:rPr>
              <w:t>（</w:t>
            </w:r>
            <w:r>
              <w:rPr>
                <w:rFonts w:hint="eastAsia"/>
                <w:kern w:val="0"/>
                <w:szCs w:val="21"/>
                <w:lang w:val="en-US" w:eastAsia="zh-CN"/>
              </w:rPr>
              <w:t>含</w:t>
            </w:r>
            <w:r>
              <w:rPr>
                <w:rFonts w:hint="eastAsia"/>
                <w:kern w:val="0"/>
                <w:szCs w:val="21"/>
                <w:lang w:eastAsia="zh-CN"/>
              </w:rPr>
              <w:t>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粒度(1.00mm~4.75mm或3.35~5.60mm)</w:t>
            </w:r>
          </w:p>
        </w:tc>
        <w:tc>
          <w:tcPr>
            <w:tcW w:w="4770" w:type="dxa"/>
            <w:tcBorders>
              <w:tl2br w:val="nil"/>
              <w:tr2bl w:val="nil"/>
            </w:tcBorders>
            <w:shd w:val="clear" w:color="auto" w:fill="auto"/>
            <w:vAlign w:val="center"/>
          </w:tcPr>
          <w:p>
            <w:pPr>
              <w:widowControl/>
              <w:jc w:val="center"/>
              <w:rPr>
                <w:kern w:val="0"/>
                <w:szCs w:val="21"/>
              </w:rPr>
            </w:pPr>
            <w:r>
              <w:rPr>
                <w:kern w:val="0"/>
                <w:szCs w:val="21"/>
              </w:rPr>
              <w:t>GB/T 24891-2010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氯离子含量</w:t>
            </w:r>
          </w:p>
        </w:tc>
        <w:tc>
          <w:tcPr>
            <w:tcW w:w="4770" w:type="dxa"/>
            <w:tcBorders>
              <w:tl2br w:val="nil"/>
              <w:tr2bl w:val="nil"/>
            </w:tcBorders>
            <w:shd w:val="clear" w:color="auto" w:fill="auto"/>
            <w:vAlign w:val="center"/>
          </w:tcPr>
          <w:p>
            <w:pPr>
              <w:widowControl/>
              <w:jc w:val="center"/>
              <w:rPr>
                <w:kern w:val="0"/>
                <w:szCs w:val="21"/>
              </w:rPr>
            </w:pPr>
            <w:r>
              <w:rPr>
                <w:kern w:val="0"/>
                <w:szCs w:val="21"/>
              </w:rPr>
              <w:t>NY/T 1117-2010</w:t>
            </w:r>
          </w:p>
          <w:p>
            <w:pPr>
              <w:widowControl/>
              <w:jc w:val="center"/>
              <w:rPr>
                <w:kern w:val="0"/>
                <w:szCs w:val="21"/>
              </w:rPr>
            </w:pPr>
            <w:r>
              <w:rPr>
                <w:kern w:val="0"/>
                <w:szCs w:val="21"/>
              </w:rPr>
              <w:t>GB/T 2489</w:t>
            </w:r>
            <w:r>
              <w:rPr>
                <w:rFonts w:hint="eastAsia"/>
                <w:kern w:val="0"/>
                <w:szCs w:val="21"/>
              </w:rPr>
              <w:t>0</w:t>
            </w:r>
            <w:r>
              <w:rPr>
                <w:kern w:val="0"/>
                <w:szCs w:val="21"/>
              </w:rPr>
              <w:t>-2010</w:t>
            </w:r>
          </w:p>
          <w:p>
            <w:pPr>
              <w:widowControl/>
              <w:jc w:val="center"/>
              <w:rPr>
                <w:kern w:val="0"/>
                <w:szCs w:val="21"/>
              </w:rPr>
            </w:pPr>
            <w:r>
              <w:rPr>
                <w:kern w:val="0"/>
                <w:szCs w:val="21"/>
                <w:lang w:bidi="ar"/>
              </w:rPr>
              <w:t>GB/T 18877- 2020</w:t>
            </w:r>
            <w:r>
              <w:rPr>
                <w:rFonts w:hint="eastAsia"/>
                <w:kern w:val="0"/>
                <w:szCs w:val="21"/>
                <w:lang w:eastAsia="zh-CN" w:bidi="ar"/>
              </w:rPr>
              <w:t>（</w:t>
            </w:r>
            <w:r>
              <w:rPr>
                <w:rFonts w:hint="eastAsia"/>
                <w:kern w:val="0"/>
                <w:szCs w:val="21"/>
                <w:lang w:val="en-US" w:eastAsia="zh-CN"/>
              </w:rPr>
              <w:t>含</w:t>
            </w:r>
            <w:r>
              <w:rPr>
                <w:rFonts w:hint="eastAsia"/>
                <w:kern w:val="0"/>
                <w:szCs w:val="21"/>
                <w:lang w:eastAsia="zh-CN"/>
              </w:rPr>
              <w:t>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总砷</w:t>
            </w:r>
          </w:p>
        </w:tc>
        <w:tc>
          <w:tcPr>
            <w:tcW w:w="4770" w:type="dxa"/>
            <w:tcBorders>
              <w:tl2br w:val="nil"/>
              <w:tr2bl w:val="nil"/>
            </w:tcBorders>
            <w:shd w:val="clear" w:color="auto" w:fill="auto"/>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总镉</w:t>
            </w:r>
          </w:p>
        </w:tc>
        <w:tc>
          <w:tcPr>
            <w:tcW w:w="4770" w:type="dxa"/>
            <w:tcBorders>
              <w:tl2br w:val="nil"/>
              <w:tr2bl w:val="nil"/>
            </w:tcBorders>
            <w:shd w:val="clear" w:color="auto" w:fill="auto"/>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总铅</w:t>
            </w:r>
          </w:p>
        </w:tc>
        <w:tc>
          <w:tcPr>
            <w:tcW w:w="4770" w:type="dxa"/>
            <w:tcBorders>
              <w:tl2br w:val="nil"/>
              <w:tr2bl w:val="nil"/>
            </w:tcBorders>
            <w:shd w:val="clear" w:color="auto" w:fill="auto"/>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总铬</w:t>
            </w:r>
          </w:p>
        </w:tc>
        <w:tc>
          <w:tcPr>
            <w:tcW w:w="4770" w:type="dxa"/>
            <w:tcBorders>
              <w:tl2br w:val="nil"/>
              <w:tr2bl w:val="nil"/>
            </w:tcBorders>
            <w:shd w:val="clear" w:color="auto" w:fill="auto"/>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总汞</w:t>
            </w:r>
          </w:p>
        </w:tc>
        <w:tc>
          <w:tcPr>
            <w:tcW w:w="4770" w:type="dxa"/>
            <w:tcBorders>
              <w:tl2br w:val="nil"/>
              <w:tr2bl w:val="nil"/>
            </w:tcBorders>
            <w:shd w:val="clear" w:color="auto" w:fill="auto"/>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总铊</w:t>
            </w:r>
          </w:p>
        </w:tc>
        <w:tc>
          <w:tcPr>
            <w:tcW w:w="4770" w:type="dxa"/>
            <w:tcBorders>
              <w:tl2br w:val="nil"/>
              <w:tr2bl w:val="nil"/>
            </w:tcBorders>
            <w:shd w:val="clear" w:color="auto" w:fill="auto"/>
            <w:vAlign w:val="center"/>
          </w:tcPr>
          <w:p>
            <w:pPr>
              <w:widowControl/>
              <w:jc w:val="center"/>
              <w:rPr>
                <w:kern w:val="0"/>
                <w:szCs w:val="21"/>
              </w:rPr>
            </w:pPr>
            <w:r>
              <w:rPr>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钠离子含量</w:t>
            </w:r>
          </w:p>
        </w:tc>
        <w:tc>
          <w:tcPr>
            <w:tcW w:w="4770" w:type="dxa"/>
            <w:tcBorders>
              <w:tl2br w:val="nil"/>
              <w:tr2bl w:val="nil"/>
            </w:tcBorders>
            <w:shd w:val="clear" w:color="auto" w:fill="auto"/>
            <w:vAlign w:val="center"/>
          </w:tcPr>
          <w:p>
            <w:pPr>
              <w:jc w:val="center"/>
              <w:rPr>
                <w:kern w:val="0"/>
                <w:szCs w:val="21"/>
              </w:rPr>
            </w:pPr>
            <w:r>
              <w:rPr>
                <w:kern w:val="0"/>
                <w:szCs w:val="21"/>
              </w:rPr>
              <w:t>NY/T 1972-2010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缩二脲含量</w:t>
            </w:r>
          </w:p>
        </w:tc>
        <w:tc>
          <w:tcPr>
            <w:tcW w:w="4770" w:type="dxa"/>
            <w:tcBorders>
              <w:tl2br w:val="nil"/>
              <w:tr2bl w:val="nil"/>
            </w:tcBorders>
            <w:shd w:val="clear" w:color="auto" w:fill="auto"/>
            <w:vAlign w:val="center"/>
          </w:tcPr>
          <w:p>
            <w:pPr>
              <w:jc w:val="center"/>
              <w:rPr>
                <w:rFonts w:hint="default" w:eastAsia="宋体"/>
                <w:kern w:val="0"/>
                <w:szCs w:val="21"/>
                <w:lang w:val="en-US" w:eastAsia="zh-CN"/>
              </w:rPr>
            </w:pPr>
            <w:r>
              <w:rPr>
                <w:color w:val="auto"/>
                <w:kern w:val="0"/>
                <w:szCs w:val="21"/>
              </w:rPr>
              <w:t>GB/T 22924-20</w:t>
            </w:r>
            <w:r>
              <w:rPr>
                <w:rFonts w:hint="eastAsia"/>
                <w:color w:val="auto"/>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蛔虫卵死亡率</w:t>
            </w:r>
          </w:p>
        </w:tc>
        <w:tc>
          <w:tcPr>
            <w:tcW w:w="4770" w:type="dxa"/>
            <w:tcBorders>
              <w:tl2br w:val="nil"/>
              <w:tr2bl w:val="nil"/>
            </w:tcBorders>
            <w:shd w:val="clear" w:color="auto" w:fill="auto"/>
            <w:vAlign w:val="center"/>
          </w:tcPr>
          <w:p>
            <w:pPr>
              <w:widowControl/>
              <w:jc w:val="center"/>
              <w:rPr>
                <w:kern w:val="0"/>
                <w:szCs w:val="21"/>
              </w:rPr>
            </w:pPr>
            <w:r>
              <w:rPr>
                <w:kern w:val="0"/>
                <w:szCs w:val="21"/>
              </w:rPr>
              <w:t>GB/T 19524.2-2004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kern w:val="0"/>
                <w:szCs w:val="21"/>
              </w:rPr>
              <w:t>粪大肠菌群数</w:t>
            </w:r>
          </w:p>
        </w:tc>
        <w:tc>
          <w:tcPr>
            <w:tcW w:w="4770" w:type="dxa"/>
            <w:tcBorders>
              <w:tl2br w:val="nil"/>
              <w:tr2bl w:val="nil"/>
            </w:tcBorders>
            <w:shd w:val="clear" w:color="auto" w:fill="auto"/>
            <w:vAlign w:val="center"/>
          </w:tcPr>
          <w:p>
            <w:pPr>
              <w:widowControl/>
              <w:jc w:val="center"/>
              <w:rPr>
                <w:kern w:val="0"/>
                <w:szCs w:val="21"/>
              </w:rPr>
            </w:pPr>
            <w:r>
              <w:rPr>
                <w:kern w:val="0"/>
                <w:szCs w:val="21"/>
              </w:rPr>
              <w:t>GB/T 19524.1-2004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99" w:type="dxa"/>
            <w:tcBorders>
              <w:tl2br w:val="nil"/>
              <w:tr2bl w:val="nil"/>
            </w:tcBorders>
            <w:shd w:val="clear" w:color="auto" w:fill="auto"/>
            <w:vAlign w:val="center"/>
          </w:tcPr>
          <w:p>
            <w:pPr>
              <w:pStyle w:val="12"/>
              <w:widowControl/>
              <w:numPr>
                <w:ilvl w:val="0"/>
                <w:numId w:val="4"/>
              </w:numPr>
              <w:ind w:firstLineChars="0"/>
              <w:jc w:val="center"/>
              <w:rPr>
                <w:rFonts w:ascii="Times New Roman" w:hAnsi="Times New Roman" w:eastAsia="宋体"/>
                <w:kern w:val="0"/>
                <w:szCs w:val="21"/>
              </w:rPr>
            </w:pPr>
          </w:p>
        </w:tc>
        <w:tc>
          <w:tcPr>
            <w:tcW w:w="3755" w:type="dxa"/>
            <w:tcBorders>
              <w:tl2br w:val="nil"/>
              <w:tr2bl w:val="nil"/>
            </w:tcBorders>
            <w:shd w:val="clear" w:color="auto" w:fill="auto"/>
            <w:vAlign w:val="center"/>
          </w:tcPr>
          <w:p>
            <w:pPr>
              <w:widowControl/>
              <w:jc w:val="center"/>
              <w:rPr>
                <w:kern w:val="0"/>
                <w:szCs w:val="21"/>
              </w:rPr>
            </w:pPr>
            <w:r>
              <w:rPr>
                <w:color w:val="000000"/>
                <w:kern w:val="0"/>
                <w:szCs w:val="21"/>
              </w:rPr>
              <w:t>包装标识（养分含量、含氯标识、其他、名称中的禁用</w:t>
            </w:r>
            <w:r>
              <w:rPr>
                <w:color w:val="auto"/>
                <w:kern w:val="0"/>
                <w:szCs w:val="21"/>
              </w:rPr>
              <w:t>语</w:t>
            </w:r>
            <w:r>
              <w:rPr>
                <w:rFonts w:hint="eastAsia"/>
                <w:color w:val="auto"/>
                <w:kern w:val="0"/>
                <w:szCs w:val="21"/>
                <w:lang w:val="en-US" w:eastAsia="zh-CN"/>
              </w:rPr>
              <w:t>等</w:t>
            </w:r>
            <w:r>
              <w:rPr>
                <w:color w:val="000000"/>
                <w:kern w:val="0"/>
                <w:szCs w:val="21"/>
              </w:rPr>
              <w:t>）</w:t>
            </w:r>
          </w:p>
        </w:tc>
        <w:tc>
          <w:tcPr>
            <w:tcW w:w="4770" w:type="dxa"/>
            <w:tcBorders>
              <w:tl2br w:val="nil"/>
              <w:tr2bl w:val="nil"/>
            </w:tcBorders>
            <w:shd w:val="clear" w:color="auto" w:fill="auto"/>
            <w:vAlign w:val="center"/>
          </w:tcPr>
          <w:p>
            <w:pPr>
              <w:widowControl/>
              <w:jc w:val="center"/>
              <w:rPr>
                <w:color w:val="000000"/>
                <w:kern w:val="0"/>
                <w:szCs w:val="21"/>
              </w:rPr>
            </w:pPr>
            <w:r>
              <w:rPr>
                <w:color w:val="000000"/>
                <w:kern w:val="0"/>
                <w:szCs w:val="21"/>
              </w:rPr>
              <w:t>GB 18382</w:t>
            </w:r>
            <w:r>
              <w:rPr>
                <w:rFonts w:hint="eastAsia"/>
                <w:color w:val="000000"/>
                <w:kern w:val="0"/>
                <w:szCs w:val="21"/>
                <w:lang w:val="en-US" w:eastAsia="zh-CN"/>
              </w:rPr>
              <w:t>-</w:t>
            </w:r>
            <w:r>
              <w:rPr>
                <w:color w:val="000000"/>
                <w:kern w:val="0"/>
                <w:szCs w:val="21"/>
              </w:rPr>
              <w:t>2021</w:t>
            </w:r>
          </w:p>
          <w:p>
            <w:pPr>
              <w:widowControl/>
              <w:jc w:val="center"/>
              <w:rPr>
                <w:kern w:val="0"/>
                <w:szCs w:val="21"/>
              </w:rPr>
            </w:pPr>
            <w:r>
              <w:rPr>
                <w:color w:val="000000"/>
                <w:kern w:val="0"/>
                <w:szCs w:val="21"/>
              </w:rPr>
              <w:t>GB/T 18877</w:t>
            </w:r>
            <w:r>
              <w:rPr>
                <w:rFonts w:hint="eastAsia"/>
                <w:color w:val="000000"/>
                <w:kern w:val="0"/>
                <w:szCs w:val="21"/>
                <w:lang w:val="en-US" w:eastAsia="zh-CN"/>
              </w:rPr>
              <w:t>-</w:t>
            </w:r>
            <w:r>
              <w:rPr>
                <w:color w:val="000000"/>
                <w:kern w:val="0"/>
                <w:szCs w:val="21"/>
              </w:rPr>
              <w:t>2020</w:t>
            </w:r>
            <w:r>
              <w:rPr>
                <w:rFonts w:hint="eastAsia"/>
                <w:color w:val="000000"/>
                <w:kern w:val="0"/>
                <w:szCs w:val="21"/>
                <w:lang w:eastAsia="zh-CN"/>
              </w:rPr>
              <w:t>（</w:t>
            </w:r>
            <w:r>
              <w:rPr>
                <w:rFonts w:hint="eastAsia"/>
                <w:kern w:val="0"/>
                <w:szCs w:val="21"/>
                <w:lang w:val="en-US" w:eastAsia="zh-CN"/>
              </w:rPr>
              <w:t>含</w:t>
            </w:r>
            <w:r>
              <w:rPr>
                <w:rFonts w:hint="eastAsia"/>
                <w:kern w:val="0"/>
                <w:szCs w:val="21"/>
                <w:lang w:eastAsia="zh-CN"/>
              </w:rPr>
              <w:t>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99" w:type="dxa"/>
            <w:tcBorders>
              <w:tl2br w:val="nil"/>
              <w:tr2bl w:val="nil"/>
            </w:tcBorders>
            <w:shd w:val="clear" w:color="auto" w:fill="auto"/>
            <w:vAlign w:val="center"/>
          </w:tcPr>
          <w:p>
            <w:pPr>
              <w:pStyle w:val="12"/>
              <w:widowControl/>
              <w:ind w:firstLine="0" w:firstLineChars="0"/>
              <w:rPr>
                <w:rFonts w:ascii="Times New Roman" w:hAnsi="Times New Roman" w:eastAsia="宋体"/>
                <w:kern w:val="0"/>
                <w:szCs w:val="21"/>
              </w:rPr>
            </w:pPr>
            <w:r>
              <w:rPr>
                <w:rFonts w:hint="eastAsia" w:ascii="Times New Roman" w:hAnsi="Times New Roman" w:eastAsia="宋体"/>
                <w:kern w:val="0"/>
                <w:szCs w:val="21"/>
              </w:rPr>
              <w:t>说明</w:t>
            </w:r>
          </w:p>
        </w:tc>
        <w:tc>
          <w:tcPr>
            <w:tcW w:w="8525" w:type="dxa"/>
            <w:gridSpan w:val="2"/>
            <w:tcBorders>
              <w:tl2br w:val="nil"/>
              <w:tr2bl w:val="nil"/>
            </w:tcBorders>
            <w:shd w:val="clear" w:color="auto" w:fill="auto"/>
            <w:vAlign w:val="center"/>
          </w:tcPr>
          <w:p>
            <w:pPr>
              <w:numPr>
                <w:ilvl w:val="0"/>
                <w:numId w:val="5"/>
              </w:numPr>
              <w:jc w:val="left"/>
              <w:rPr>
                <w:kern w:val="0"/>
                <w:szCs w:val="21"/>
              </w:rPr>
            </w:pPr>
            <w:r>
              <w:rPr>
                <w:rFonts w:hint="eastAsia"/>
                <w:kern w:val="0"/>
                <w:szCs w:val="21"/>
              </w:rPr>
              <w:t>氯离子的质量分数大于 30.0%的产品</w:t>
            </w:r>
            <w:r>
              <w:rPr>
                <w:rFonts w:hint="eastAsia"/>
                <w:kern w:val="0"/>
                <w:szCs w:val="21"/>
                <w:lang w:eastAsia="zh-CN"/>
              </w:rPr>
              <w:t>，</w:t>
            </w:r>
            <w:r>
              <w:rPr>
                <w:rFonts w:hint="eastAsia"/>
                <w:kern w:val="0"/>
                <w:szCs w:val="21"/>
              </w:rPr>
              <w:t>应在包装袋上标明“含氯(高氯)”</w:t>
            </w:r>
            <w:r>
              <w:rPr>
                <w:rFonts w:hint="eastAsia"/>
                <w:kern w:val="0"/>
                <w:szCs w:val="21"/>
                <w:lang w:eastAsia="zh-CN"/>
              </w:rPr>
              <w:t>，</w:t>
            </w:r>
            <w:r>
              <w:rPr>
                <w:rFonts w:hint="eastAsia"/>
                <w:kern w:val="0"/>
                <w:szCs w:val="21"/>
              </w:rPr>
              <w:t>标明“含氯(高氯)”的产品氯离子的质量分数可不做检测和判定。</w:t>
            </w:r>
          </w:p>
          <w:p>
            <w:pPr>
              <w:numPr>
                <w:ilvl w:val="0"/>
                <w:numId w:val="5"/>
              </w:numPr>
              <w:jc w:val="left"/>
              <w:rPr>
                <w:kern w:val="0"/>
                <w:szCs w:val="21"/>
              </w:rPr>
            </w:pPr>
            <w:r>
              <w:rPr>
                <w:rFonts w:hint="eastAsia"/>
                <w:kern w:val="0"/>
                <w:szCs w:val="21"/>
              </w:rPr>
              <w:t>“</w:t>
            </w:r>
            <w:r>
              <w:rPr>
                <w:kern w:val="0"/>
                <w:szCs w:val="21"/>
              </w:rPr>
              <w:t>粪大肠菌群数</w:t>
            </w:r>
            <w:r>
              <w:rPr>
                <w:rFonts w:hint="eastAsia"/>
                <w:kern w:val="0"/>
                <w:szCs w:val="21"/>
              </w:rPr>
              <w:t>、蛔虫卵死亡率”项目不接受复检。</w:t>
            </w:r>
          </w:p>
        </w:tc>
      </w:tr>
    </w:tbl>
    <w:p>
      <w:pPr>
        <w:snapToGrid w:val="0"/>
        <w:spacing w:line="440" w:lineRule="exact"/>
        <w:jc w:val="center"/>
        <w:rPr>
          <w:bCs/>
          <w:szCs w:val="21"/>
        </w:rPr>
      </w:pPr>
    </w:p>
    <w:p>
      <w:pPr>
        <w:snapToGrid w:val="0"/>
        <w:spacing w:line="440" w:lineRule="exact"/>
        <w:jc w:val="center"/>
        <w:rPr>
          <w:rFonts w:hint="eastAsia" w:ascii="黑体" w:hAnsi="黑体" w:eastAsia="黑体" w:cs="黑体"/>
          <w:bCs/>
          <w:szCs w:val="21"/>
        </w:rPr>
      </w:pPr>
    </w:p>
    <w:p>
      <w:pPr>
        <w:adjustRightInd w:val="0"/>
        <w:snapToGrid w:val="0"/>
        <w:spacing w:line="440" w:lineRule="exact"/>
        <w:jc w:val="center"/>
        <w:rPr>
          <w:rFonts w:hint="eastAsia"/>
          <w:kern w:val="0"/>
          <w:szCs w:val="21"/>
        </w:rPr>
      </w:pPr>
      <w:r>
        <w:rPr>
          <w:rFonts w:hint="eastAsia"/>
          <w:kern w:val="0"/>
          <w:szCs w:val="21"/>
        </w:rPr>
        <w:t>表</w:t>
      </w:r>
      <w:r>
        <w:rPr>
          <w:rFonts w:hint="eastAsia"/>
          <w:kern w:val="0"/>
          <w:szCs w:val="21"/>
          <w:lang w:val="en-US" w:eastAsia="zh-CN"/>
        </w:rPr>
        <w:t>4 硝基</w:t>
      </w:r>
      <w:r>
        <w:rPr>
          <w:rFonts w:hint="eastAsia"/>
          <w:kern w:val="0"/>
          <w:szCs w:val="21"/>
        </w:rPr>
        <w:t>复合肥料</w:t>
      </w:r>
    </w:p>
    <w:tbl>
      <w:tblPr>
        <w:tblStyle w:val="5"/>
        <w:tblW w:w="906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99"/>
        <w:gridCol w:w="4678"/>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blHeader/>
        </w:trPr>
        <w:tc>
          <w:tcPr>
            <w:tcW w:w="699" w:type="dxa"/>
            <w:tcBorders>
              <w:tl2br w:val="nil"/>
              <w:tr2bl w:val="nil"/>
            </w:tcBorders>
            <w:shd w:val="clear" w:color="auto" w:fill="FFFFFF"/>
            <w:noWrap/>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序号</w:t>
            </w:r>
          </w:p>
        </w:tc>
        <w:tc>
          <w:tcPr>
            <w:tcW w:w="4678" w:type="dxa"/>
            <w:tcBorders>
              <w:tl2br w:val="nil"/>
              <w:tr2bl w:val="nil"/>
            </w:tcBorders>
            <w:shd w:val="clear" w:color="auto" w:fill="FFFFFF"/>
            <w:noWrap/>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检验项目</w:t>
            </w:r>
          </w:p>
        </w:tc>
        <w:tc>
          <w:tcPr>
            <w:tcW w:w="3685" w:type="dxa"/>
            <w:tcBorders>
              <w:tl2br w:val="nil"/>
              <w:tr2bl w:val="nil"/>
            </w:tcBorders>
            <w:shd w:val="clear" w:color="auto" w:fill="FFFFFF"/>
            <w:vAlign w:val="center"/>
          </w:tcPr>
          <w:p>
            <w:pPr>
              <w:widowControl/>
              <w:jc w:val="center"/>
              <w:rPr>
                <w:rFonts w:hint="eastAsia" w:ascii="黑体" w:hAnsi="黑体" w:eastAsia="黑体" w:cs="黑体"/>
                <w:kern w:val="0"/>
                <w:szCs w:val="21"/>
              </w:rPr>
            </w:pPr>
            <w:r>
              <w:rPr>
                <w:rFonts w:hint="eastAsia" w:ascii="黑体" w:hAnsi="黑体" w:eastAsia="黑体" w:cs="黑体"/>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总养分(N+P</w:t>
            </w:r>
            <w:r>
              <w:rPr>
                <w:kern w:val="0"/>
                <w:szCs w:val="21"/>
                <w:vertAlign w:val="subscript"/>
              </w:rPr>
              <w:t>2</w:t>
            </w:r>
            <w:r>
              <w:rPr>
                <w:kern w:val="0"/>
                <w:szCs w:val="21"/>
              </w:rPr>
              <w:t>O</w:t>
            </w:r>
            <w:r>
              <w:rPr>
                <w:kern w:val="0"/>
                <w:szCs w:val="21"/>
                <w:vertAlign w:val="subscript"/>
              </w:rPr>
              <w:t>5</w:t>
            </w:r>
            <w:r>
              <w:rPr>
                <w:kern w:val="0"/>
                <w:szCs w:val="21"/>
              </w:rPr>
              <w:t>+K</w:t>
            </w:r>
            <w:r>
              <w:rPr>
                <w:kern w:val="0"/>
                <w:szCs w:val="21"/>
                <w:vertAlign w:val="subscript"/>
              </w:rPr>
              <w:t>2</w:t>
            </w:r>
            <w:r>
              <w:rPr>
                <w:kern w:val="0"/>
                <w:szCs w:val="21"/>
              </w:rPr>
              <w:t>O)</w:t>
            </w:r>
            <w:r>
              <w:rPr>
                <w:rFonts w:hint="eastAsia"/>
                <w:color w:val="auto"/>
                <w:kern w:val="0"/>
                <w:szCs w:val="21"/>
                <w:lang w:val="en-US" w:eastAsia="zh-CN"/>
              </w:rPr>
              <w:t>的质量分数</w:t>
            </w:r>
          </w:p>
        </w:tc>
        <w:tc>
          <w:tcPr>
            <w:tcW w:w="3685" w:type="dxa"/>
            <w:tcBorders>
              <w:tl2br w:val="nil"/>
              <w:tr2bl w:val="nil"/>
            </w:tcBorders>
            <w:shd w:val="clear" w:color="auto" w:fill="FFFFFF"/>
            <w:vAlign w:val="center"/>
          </w:tcPr>
          <w:p>
            <w:pPr>
              <w:widowControl/>
              <w:jc w:val="center"/>
              <w:rPr>
                <w:rFonts w:hint="default" w:eastAsia="宋体"/>
                <w:kern w:val="0"/>
                <w:szCs w:val="21"/>
                <w:lang w:val="en-US" w:eastAsia="zh-CN"/>
              </w:rPr>
            </w:pPr>
            <w:r>
              <w:rPr>
                <w:rFonts w:hint="eastAsia"/>
                <w:kern w:val="0"/>
                <w:szCs w:val="21"/>
                <w:lang w:val="en-US" w:eastAsia="zh-CN"/>
              </w:rPr>
              <w:t>H</w:t>
            </w:r>
            <w:r>
              <w:rPr>
                <w:kern w:val="0"/>
                <w:szCs w:val="21"/>
              </w:rPr>
              <w:t xml:space="preserve">G/T </w:t>
            </w:r>
            <w:r>
              <w:rPr>
                <w:rFonts w:hint="eastAsia"/>
                <w:kern w:val="0"/>
                <w:szCs w:val="21"/>
                <w:lang w:val="en-US" w:eastAsia="zh-CN"/>
              </w:rPr>
              <w:t>4851-2016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总氮(N)</w:t>
            </w:r>
          </w:p>
        </w:tc>
        <w:tc>
          <w:tcPr>
            <w:tcW w:w="3685" w:type="dxa"/>
            <w:tcBorders>
              <w:tl2br w:val="nil"/>
              <w:tr2bl w:val="nil"/>
            </w:tcBorders>
            <w:shd w:val="clear" w:color="auto" w:fill="FFFFFF"/>
            <w:vAlign w:val="center"/>
          </w:tcPr>
          <w:p>
            <w:pPr>
              <w:widowControl/>
              <w:jc w:val="center"/>
              <w:rPr>
                <w:kern w:val="0"/>
                <w:szCs w:val="21"/>
              </w:rPr>
            </w:pPr>
            <w:r>
              <w:rPr>
                <w:kern w:val="0"/>
                <w:szCs w:val="21"/>
              </w:rPr>
              <w:t>GB/T 8572-2010</w:t>
            </w:r>
          </w:p>
          <w:p>
            <w:pPr>
              <w:widowControl/>
              <w:jc w:val="center"/>
              <w:rPr>
                <w:kern w:val="0"/>
                <w:szCs w:val="21"/>
              </w:rPr>
            </w:pPr>
            <w:r>
              <w:rPr>
                <w:rFonts w:hint="eastAsia"/>
                <w:kern w:val="0"/>
                <w:szCs w:val="21"/>
              </w:rPr>
              <w:t>GB/T 22923-2008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有效磷(P</w:t>
            </w:r>
            <w:r>
              <w:rPr>
                <w:kern w:val="0"/>
                <w:szCs w:val="21"/>
                <w:vertAlign w:val="subscript"/>
              </w:rPr>
              <w:t>2</w:t>
            </w:r>
            <w:r>
              <w:rPr>
                <w:kern w:val="0"/>
                <w:szCs w:val="21"/>
              </w:rPr>
              <w:t>O</w:t>
            </w:r>
            <w:r>
              <w:rPr>
                <w:kern w:val="0"/>
                <w:szCs w:val="21"/>
                <w:vertAlign w:val="subscript"/>
              </w:rPr>
              <w:t>5</w:t>
            </w:r>
            <w:r>
              <w:rPr>
                <w:kern w:val="0"/>
                <w:szCs w:val="21"/>
              </w:rPr>
              <w:t>)</w:t>
            </w:r>
          </w:p>
        </w:tc>
        <w:tc>
          <w:tcPr>
            <w:tcW w:w="3685" w:type="dxa"/>
            <w:tcBorders>
              <w:tl2br w:val="nil"/>
              <w:tr2bl w:val="nil"/>
            </w:tcBorders>
            <w:shd w:val="clear" w:color="auto" w:fill="FFFFFF"/>
            <w:vAlign w:val="center"/>
          </w:tcPr>
          <w:p>
            <w:pPr>
              <w:widowControl/>
              <w:jc w:val="center"/>
              <w:rPr>
                <w:kern w:val="0"/>
                <w:szCs w:val="21"/>
              </w:rPr>
            </w:pPr>
            <w:r>
              <w:rPr>
                <w:rFonts w:hint="eastAsia"/>
                <w:kern w:val="0"/>
                <w:szCs w:val="21"/>
              </w:rPr>
              <w:t>GB/T 22923-2008</w:t>
            </w:r>
          </w:p>
          <w:p>
            <w:pPr>
              <w:widowControl/>
              <w:jc w:val="center"/>
              <w:rPr>
                <w:kern w:val="0"/>
                <w:szCs w:val="21"/>
              </w:rPr>
            </w:pPr>
            <w:r>
              <w:rPr>
                <w:rFonts w:hint="eastAsia"/>
                <w:kern w:val="0"/>
                <w:szCs w:val="21"/>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氧化钾(K</w:t>
            </w:r>
            <w:r>
              <w:rPr>
                <w:kern w:val="0"/>
                <w:szCs w:val="21"/>
                <w:vertAlign w:val="subscript"/>
              </w:rPr>
              <w:t>2</w:t>
            </w:r>
            <w:r>
              <w:rPr>
                <w:kern w:val="0"/>
                <w:szCs w:val="21"/>
              </w:rPr>
              <w:t>O)</w:t>
            </w:r>
          </w:p>
        </w:tc>
        <w:tc>
          <w:tcPr>
            <w:tcW w:w="3685" w:type="dxa"/>
            <w:tcBorders>
              <w:tl2br w:val="nil"/>
              <w:tr2bl w:val="nil"/>
            </w:tcBorders>
            <w:shd w:val="clear" w:color="auto" w:fill="FFFFFF"/>
            <w:vAlign w:val="center"/>
          </w:tcPr>
          <w:p>
            <w:pPr>
              <w:widowControl/>
              <w:jc w:val="center"/>
              <w:rPr>
                <w:rFonts w:hint="default" w:eastAsia="宋体"/>
                <w:color w:val="auto"/>
                <w:kern w:val="0"/>
                <w:szCs w:val="21"/>
                <w:lang w:val="en-US" w:eastAsia="zh-CN"/>
              </w:rPr>
            </w:pPr>
            <w:r>
              <w:rPr>
                <w:color w:val="auto"/>
                <w:kern w:val="0"/>
                <w:szCs w:val="21"/>
              </w:rPr>
              <w:t>GB/T 8574-20</w:t>
            </w:r>
            <w:r>
              <w:rPr>
                <w:rFonts w:hint="eastAsia"/>
                <w:color w:val="auto"/>
                <w:kern w:val="0"/>
                <w:szCs w:val="21"/>
                <w:lang w:val="en-US" w:eastAsia="zh-CN"/>
              </w:rPr>
              <w:t>24</w:t>
            </w:r>
          </w:p>
          <w:p>
            <w:pPr>
              <w:widowControl/>
              <w:jc w:val="center"/>
              <w:rPr>
                <w:kern w:val="0"/>
                <w:szCs w:val="21"/>
              </w:rPr>
            </w:pPr>
            <w:r>
              <w:rPr>
                <w:rFonts w:hint="eastAsia"/>
                <w:kern w:val="0"/>
                <w:szCs w:val="21"/>
              </w:rPr>
              <w:t>GB/T 22923-2008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color w:val="auto"/>
                <w:kern w:val="0"/>
                <w:szCs w:val="21"/>
              </w:rPr>
            </w:pPr>
            <w:r>
              <w:rPr>
                <w:color w:val="auto"/>
                <w:kern w:val="0"/>
                <w:szCs w:val="21"/>
              </w:rPr>
              <w:t>水溶性磷占有效磷百分率</w:t>
            </w:r>
          </w:p>
        </w:tc>
        <w:tc>
          <w:tcPr>
            <w:tcW w:w="3685" w:type="dxa"/>
            <w:tcBorders>
              <w:tl2br w:val="nil"/>
              <w:tr2bl w:val="nil"/>
            </w:tcBorders>
            <w:shd w:val="clear" w:color="auto" w:fill="FFFFFF"/>
            <w:vAlign w:val="center"/>
          </w:tcPr>
          <w:p>
            <w:pPr>
              <w:widowControl/>
              <w:jc w:val="center"/>
              <w:rPr>
                <w:color w:val="auto"/>
                <w:kern w:val="0"/>
                <w:szCs w:val="21"/>
              </w:rPr>
            </w:pPr>
            <w:r>
              <w:rPr>
                <w:rFonts w:hint="eastAsia"/>
                <w:color w:val="auto"/>
                <w:kern w:val="0"/>
                <w:szCs w:val="21"/>
                <w:lang w:val="en-US" w:eastAsia="zh-CN"/>
              </w:rPr>
              <w:t>H</w:t>
            </w:r>
            <w:r>
              <w:rPr>
                <w:color w:val="auto"/>
                <w:kern w:val="0"/>
                <w:szCs w:val="21"/>
              </w:rPr>
              <w:t xml:space="preserve">G/T </w:t>
            </w:r>
            <w:r>
              <w:rPr>
                <w:rFonts w:hint="eastAsia"/>
                <w:color w:val="auto"/>
                <w:kern w:val="0"/>
                <w:szCs w:val="21"/>
                <w:lang w:val="en-US" w:eastAsia="zh-CN"/>
              </w:rPr>
              <w:t>4851-2016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rFonts w:hint="default" w:eastAsia="宋体"/>
                <w:color w:val="auto"/>
                <w:kern w:val="0"/>
                <w:szCs w:val="21"/>
                <w:lang w:val="en-US" w:eastAsia="zh-CN"/>
              </w:rPr>
            </w:pPr>
            <w:r>
              <w:rPr>
                <w:color w:val="auto"/>
                <w:kern w:val="0"/>
                <w:szCs w:val="21"/>
              </w:rPr>
              <w:t>硝态氮</w:t>
            </w:r>
            <w:r>
              <w:rPr>
                <w:rFonts w:hint="eastAsia"/>
                <w:kern w:val="0"/>
                <w:szCs w:val="21"/>
                <w:lang w:eastAsia="zh-CN"/>
              </w:rPr>
              <w:t>（</w:t>
            </w:r>
            <w:r>
              <w:rPr>
                <w:rFonts w:hint="eastAsia"/>
                <w:kern w:val="0"/>
                <w:szCs w:val="21"/>
                <w:lang w:val="en-US" w:eastAsia="zh-CN"/>
              </w:rPr>
              <w:t>NO</w:t>
            </w:r>
            <w:r>
              <w:rPr>
                <w:rFonts w:hint="eastAsia"/>
                <w:kern w:val="0"/>
                <w:szCs w:val="21"/>
                <w:vertAlign w:val="subscript"/>
                <w:lang w:val="en-US" w:eastAsia="zh-CN"/>
              </w:rPr>
              <w:t>3</w:t>
            </w:r>
            <w:r>
              <w:rPr>
                <w:rFonts w:hint="eastAsia"/>
                <w:kern w:val="0"/>
                <w:szCs w:val="21"/>
                <w:lang w:val="en-US" w:eastAsia="zh-CN"/>
              </w:rPr>
              <w:t>-N</w:t>
            </w:r>
            <w:r>
              <w:rPr>
                <w:rFonts w:hint="eastAsia"/>
                <w:kern w:val="0"/>
                <w:szCs w:val="21"/>
                <w:lang w:eastAsia="zh-CN"/>
              </w:rPr>
              <w:t>）</w:t>
            </w:r>
            <w:r>
              <w:rPr>
                <w:rFonts w:hint="eastAsia"/>
                <w:color w:val="auto"/>
                <w:kern w:val="0"/>
                <w:szCs w:val="21"/>
                <w:lang w:val="en-US" w:eastAsia="zh-CN"/>
              </w:rPr>
              <w:t>的质量分数</w:t>
            </w:r>
          </w:p>
        </w:tc>
        <w:tc>
          <w:tcPr>
            <w:tcW w:w="3685" w:type="dxa"/>
            <w:tcBorders>
              <w:tl2br w:val="nil"/>
              <w:tr2bl w:val="nil"/>
            </w:tcBorders>
            <w:shd w:val="clear" w:color="auto" w:fill="FFFFFF"/>
            <w:vAlign w:val="center"/>
          </w:tcPr>
          <w:p>
            <w:pPr>
              <w:widowControl/>
              <w:jc w:val="center"/>
              <w:rPr>
                <w:color w:val="auto"/>
                <w:kern w:val="0"/>
                <w:szCs w:val="21"/>
              </w:rPr>
            </w:pPr>
            <w:r>
              <w:rPr>
                <w:color w:val="auto"/>
                <w:kern w:val="0"/>
                <w:szCs w:val="21"/>
              </w:rPr>
              <w:t>GB/T 3597-2002</w:t>
            </w:r>
          </w:p>
          <w:p>
            <w:pPr>
              <w:widowControl/>
              <w:jc w:val="center"/>
              <w:rPr>
                <w:color w:val="auto"/>
                <w:kern w:val="0"/>
                <w:szCs w:val="21"/>
              </w:rPr>
            </w:pPr>
            <w:r>
              <w:rPr>
                <w:color w:val="auto"/>
                <w:kern w:val="0"/>
                <w:szCs w:val="21"/>
                <w:lang w:bidi="ar"/>
              </w:rPr>
              <w:t>GB/T 22923-2008</w:t>
            </w:r>
          </w:p>
          <w:p>
            <w:pPr>
              <w:widowControl/>
              <w:jc w:val="center"/>
              <w:rPr>
                <w:color w:val="auto"/>
                <w:kern w:val="0"/>
                <w:szCs w:val="21"/>
              </w:rPr>
            </w:pPr>
            <w:r>
              <w:rPr>
                <w:color w:val="auto"/>
                <w:kern w:val="0"/>
                <w:szCs w:val="21"/>
                <w:lang w:bidi="ar"/>
              </w:rPr>
              <w:t>NY/T 1116-2014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color w:val="auto"/>
                <w:kern w:val="0"/>
                <w:szCs w:val="21"/>
              </w:rPr>
            </w:pPr>
            <w:r>
              <w:rPr>
                <w:color w:val="auto"/>
                <w:kern w:val="0"/>
                <w:szCs w:val="21"/>
              </w:rPr>
              <w:t>粒度(1.00mm~4.75mm)</w:t>
            </w:r>
          </w:p>
        </w:tc>
        <w:tc>
          <w:tcPr>
            <w:tcW w:w="3685" w:type="dxa"/>
            <w:tcBorders>
              <w:tl2br w:val="nil"/>
              <w:tr2bl w:val="nil"/>
            </w:tcBorders>
            <w:shd w:val="clear" w:color="auto" w:fill="FFFFFF"/>
            <w:vAlign w:val="center"/>
          </w:tcPr>
          <w:p>
            <w:pPr>
              <w:widowControl/>
              <w:jc w:val="center"/>
              <w:rPr>
                <w:color w:val="auto"/>
                <w:kern w:val="0"/>
                <w:szCs w:val="21"/>
              </w:rPr>
            </w:pPr>
            <w:r>
              <w:rPr>
                <w:color w:val="auto"/>
                <w:kern w:val="0"/>
                <w:szCs w:val="21"/>
              </w:rPr>
              <w:t>GB/T 24891-2010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color w:val="auto"/>
                <w:kern w:val="0"/>
                <w:szCs w:val="21"/>
              </w:rPr>
            </w:pPr>
            <w:r>
              <w:rPr>
                <w:color w:val="auto"/>
                <w:kern w:val="0"/>
                <w:szCs w:val="21"/>
              </w:rPr>
              <w:t>氯离子</w:t>
            </w:r>
            <w:r>
              <w:rPr>
                <w:rFonts w:hint="eastAsia"/>
                <w:color w:val="auto"/>
                <w:kern w:val="0"/>
                <w:szCs w:val="21"/>
                <w:lang w:val="en-US" w:eastAsia="zh-CN"/>
              </w:rPr>
              <w:t>的质量分数</w:t>
            </w:r>
          </w:p>
        </w:tc>
        <w:tc>
          <w:tcPr>
            <w:tcW w:w="3685" w:type="dxa"/>
            <w:tcBorders>
              <w:tl2br w:val="nil"/>
              <w:tr2bl w:val="nil"/>
            </w:tcBorders>
            <w:shd w:val="clear" w:color="auto" w:fill="FFFFFF"/>
            <w:vAlign w:val="center"/>
          </w:tcPr>
          <w:p>
            <w:pPr>
              <w:widowControl/>
              <w:jc w:val="center"/>
              <w:rPr>
                <w:color w:val="auto"/>
                <w:kern w:val="0"/>
                <w:szCs w:val="21"/>
              </w:rPr>
            </w:pPr>
            <w:r>
              <w:rPr>
                <w:color w:val="auto"/>
                <w:kern w:val="0"/>
                <w:szCs w:val="21"/>
              </w:rPr>
              <w:t>GB/T 24890-2010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硫（S）的质量分数</w:t>
            </w:r>
          </w:p>
        </w:tc>
        <w:tc>
          <w:tcPr>
            <w:tcW w:w="3685" w:type="dxa"/>
            <w:tcBorders>
              <w:tl2br w:val="nil"/>
              <w:tr2bl w:val="nil"/>
            </w:tcBorders>
            <w:shd w:val="clear" w:color="auto" w:fill="FFFFFF"/>
            <w:vAlign w:val="center"/>
          </w:tcPr>
          <w:p>
            <w:pPr>
              <w:widowControl/>
              <w:jc w:val="center"/>
              <w:rPr>
                <w:color w:val="auto"/>
                <w:kern w:val="0"/>
                <w:szCs w:val="21"/>
              </w:rPr>
            </w:pPr>
            <w:r>
              <w:rPr>
                <w:color w:val="auto"/>
                <w:kern w:val="0"/>
                <w:szCs w:val="21"/>
              </w:rPr>
              <w:t xml:space="preserve">GB/T </w:t>
            </w:r>
            <w:r>
              <w:rPr>
                <w:rFonts w:hint="eastAsia"/>
                <w:color w:val="auto"/>
                <w:kern w:val="0"/>
                <w:szCs w:val="21"/>
                <w:lang w:val="en-US" w:eastAsia="zh-CN"/>
              </w:rPr>
              <w:t>19203</w:t>
            </w:r>
            <w:r>
              <w:rPr>
                <w:color w:val="auto"/>
                <w:kern w:val="0"/>
                <w:szCs w:val="21"/>
              </w:rPr>
              <w:t>-20</w:t>
            </w:r>
            <w:r>
              <w:rPr>
                <w:rFonts w:hint="eastAsia"/>
                <w:color w:val="auto"/>
                <w:kern w:val="0"/>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总砷</w:t>
            </w:r>
          </w:p>
        </w:tc>
        <w:tc>
          <w:tcPr>
            <w:tcW w:w="3685" w:type="dxa"/>
            <w:tcBorders>
              <w:tl2br w:val="nil"/>
              <w:tr2bl w:val="nil"/>
            </w:tcBorders>
            <w:shd w:val="clear" w:color="auto" w:fill="FFFFFF"/>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总镉</w:t>
            </w:r>
          </w:p>
        </w:tc>
        <w:tc>
          <w:tcPr>
            <w:tcW w:w="3685" w:type="dxa"/>
            <w:tcBorders>
              <w:tl2br w:val="nil"/>
              <w:tr2bl w:val="nil"/>
            </w:tcBorders>
            <w:shd w:val="clear" w:color="auto" w:fill="FFFFFF"/>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总铅</w:t>
            </w:r>
          </w:p>
        </w:tc>
        <w:tc>
          <w:tcPr>
            <w:tcW w:w="3685" w:type="dxa"/>
            <w:tcBorders>
              <w:tl2br w:val="nil"/>
              <w:tr2bl w:val="nil"/>
            </w:tcBorders>
            <w:shd w:val="clear" w:color="auto" w:fill="FFFFFF"/>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总铬</w:t>
            </w:r>
          </w:p>
        </w:tc>
        <w:tc>
          <w:tcPr>
            <w:tcW w:w="3685" w:type="dxa"/>
            <w:tcBorders>
              <w:tl2br w:val="nil"/>
              <w:tr2bl w:val="nil"/>
            </w:tcBorders>
            <w:shd w:val="clear" w:color="auto" w:fill="FFFFFF"/>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总汞</w:t>
            </w:r>
          </w:p>
        </w:tc>
        <w:tc>
          <w:tcPr>
            <w:tcW w:w="3685" w:type="dxa"/>
            <w:tcBorders>
              <w:tl2br w:val="nil"/>
              <w:tr2bl w:val="nil"/>
            </w:tcBorders>
            <w:shd w:val="clear" w:color="auto" w:fill="FFFFFF"/>
            <w:vAlign w:val="center"/>
          </w:tcPr>
          <w:p>
            <w:pPr>
              <w:widowControl/>
              <w:jc w:val="center"/>
              <w:rPr>
                <w:kern w:val="0"/>
                <w:szCs w:val="21"/>
              </w:rPr>
            </w:pPr>
            <w:r>
              <w:rPr>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kern w:val="0"/>
                <w:szCs w:val="21"/>
              </w:rPr>
              <w:t>总铊</w:t>
            </w:r>
          </w:p>
        </w:tc>
        <w:tc>
          <w:tcPr>
            <w:tcW w:w="3685" w:type="dxa"/>
            <w:tcBorders>
              <w:tl2br w:val="nil"/>
              <w:tr2bl w:val="nil"/>
            </w:tcBorders>
            <w:shd w:val="clear" w:color="auto" w:fill="FFFFFF"/>
            <w:vAlign w:val="center"/>
          </w:tcPr>
          <w:p>
            <w:pPr>
              <w:widowControl/>
              <w:jc w:val="center"/>
              <w:rPr>
                <w:kern w:val="0"/>
                <w:szCs w:val="21"/>
              </w:rPr>
            </w:pPr>
            <w:r>
              <w:rPr>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color w:val="auto"/>
                <w:kern w:val="0"/>
                <w:szCs w:val="21"/>
              </w:rPr>
            </w:pPr>
            <w:r>
              <w:rPr>
                <w:color w:val="auto"/>
                <w:kern w:val="0"/>
                <w:szCs w:val="21"/>
              </w:rPr>
              <w:t>缩二脲</w:t>
            </w:r>
          </w:p>
        </w:tc>
        <w:tc>
          <w:tcPr>
            <w:tcW w:w="3685" w:type="dxa"/>
            <w:tcBorders>
              <w:tl2br w:val="nil"/>
              <w:tr2bl w:val="nil"/>
            </w:tcBorders>
            <w:shd w:val="clear" w:color="auto" w:fill="FFFFFF"/>
            <w:vAlign w:val="center"/>
          </w:tcPr>
          <w:p>
            <w:pPr>
              <w:widowControl/>
              <w:jc w:val="center"/>
              <w:rPr>
                <w:rFonts w:hint="default" w:eastAsia="宋体"/>
                <w:color w:val="auto"/>
                <w:kern w:val="0"/>
                <w:szCs w:val="21"/>
                <w:lang w:val="en-US" w:eastAsia="zh-CN"/>
              </w:rPr>
            </w:pPr>
            <w:r>
              <w:rPr>
                <w:color w:val="auto"/>
                <w:kern w:val="0"/>
                <w:szCs w:val="21"/>
              </w:rPr>
              <w:t>GB/T 22924-20</w:t>
            </w:r>
            <w:r>
              <w:rPr>
                <w:rFonts w:hint="eastAsia"/>
                <w:color w:val="auto"/>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9" w:type="dxa"/>
            <w:tcBorders>
              <w:tl2br w:val="nil"/>
              <w:tr2bl w:val="nil"/>
            </w:tcBorders>
            <w:shd w:val="clear" w:color="auto" w:fill="FFFFFF"/>
            <w:noWrap/>
            <w:vAlign w:val="center"/>
          </w:tcPr>
          <w:p>
            <w:pPr>
              <w:pStyle w:val="12"/>
              <w:widowControl/>
              <w:numPr>
                <w:ilvl w:val="0"/>
                <w:numId w:val="6"/>
              </w:numPr>
              <w:ind w:firstLineChars="0"/>
              <w:jc w:val="center"/>
              <w:rPr>
                <w:rFonts w:ascii="Times New Roman" w:hAnsi="Times New Roman" w:eastAsia="宋体"/>
                <w:kern w:val="0"/>
                <w:szCs w:val="21"/>
              </w:rPr>
            </w:pPr>
          </w:p>
        </w:tc>
        <w:tc>
          <w:tcPr>
            <w:tcW w:w="4678" w:type="dxa"/>
            <w:tcBorders>
              <w:tl2br w:val="nil"/>
              <w:tr2bl w:val="nil"/>
            </w:tcBorders>
            <w:shd w:val="clear" w:color="auto" w:fill="FFFFFF"/>
            <w:noWrap/>
            <w:vAlign w:val="center"/>
          </w:tcPr>
          <w:p>
            <w:pPr>
              <w:widowControl/>
              <w:jc w:val="center"/>
              <w:rPr>
                <w:kern w:val="0"/>
                <w:szCs w:val="21"/>
              </w:rPr>
            </w:pPr>
            <w:r>
              <w:rPr>
                <w:color w:val="000000"/>
                <w:kern w:val="0"/>
                <w:szCs w:val="21"/>
              </w:rPr>
              <w:t>包装标识（养分含量、含氯标识、警示语、名称中的禁用</w:t>
            </w:r>
            <w:r>
              <w:rPr>
                <w:color w:val="auto"/>
                <w:kern w:val="0"/>
                <w:szCs w:val="21"/>
              </w:rPr>
              <w:t>语</w:t>
            </w:r>
            <w:r>
              <w:rPr>
                <w:rFonts w:hint="eastAsia"/>
                <w:color w:val="auto"/>
                <w:kern w:val="0"/>
                <w:szCs w:val="21"/>
                <w:lang w:val="en-US" w:eastAsia="zh-CN"/>
              </w:rPr>
              <w:t>等</w:t>
            </w:r>
            <w:r>
              <w:rPr>
                <w:color w:val="000000"/>
                <w:kern w:val="0"/>
                <w:szCs w:val="21"/>
              </w:rPr>
              <w:t>）</w:t>
            </w:r>
          </w:p>
        </w:tc>
        <w:tc>
          <w:tcPr>
            <w:tcW w:w="368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18382—2021</w:t>
            </w:r>
          </w:p>
          <w:p>
            <w:pPr>
              <w:widowControl/>
              <w:jc w:val="center"/>
              <w:rPr>
                <w:kern w:val="0"/>
                <w:szCs w:val="21"/>
              </w:rPr>
            </w:pPr>
            <w:r>
              <w:rPr>
                <w:rFonts w:hint="eastAsia"/>
                <w:color w:val="auto"/>
                <w:kern w:val="0"/>
                <w:szCs w:val="21"/>
                <w:lang w:val="en-US" w:eastAsia="zh-CN"/>
              </w:rPr>
              <w:t>H</w:t>
            </w:r>
            <w:r>
              <w:rPr>
                <w:color w:val="auto"/>
                <w:kern w:val="0"/>
                <w:szCs w:val="21"/>
              </w:rPr>
              <w:t xml:space="preserve">G/T </w:t>
            </w:r>
            <w:r>
              <w:rPr>
                <w:rFonts w:hint="eastAsia"/>
                <w:color w:val="auto"/>
                <w:kern w:val="0"/>
                <w:szCs w:val="21"/>
                <w:lang w:val="en-US" w:eastAsia="zh-CN"/>
              </w:rPr>
              <w:t>4851-2016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trPr>
        <w:tc>
          <w:tcPr>
            <w:tcW w:w="699" w:type="dxa"/>
            <w:tcBorders>
              <w:tl2br w:val="nil"/>
              <w:tr2bl w:val="nil"/>
            </w:tcBorders>
            <w:shd w:val="clear" w:color="auto" w:fill="FFFFFF"/>
            <w:noWrap/>
            <w:vAlign w:val="center"/>
          </w:tcPr>
          <w:p>
            <w:pPr>
              <w:pStyle w:val="12"/>
              <w:widowControl/>
              <w:ind w:firstLine="0" w:firstLineChars="0"/>
              <w:rPr>
                <w:rFonts w:ascii="Times New Roman" w:hAnsi="Times New Roman" w:eastAsia="宋体"/>
                <w:kern w:val="0"/>
                <w:szCs w:val="21"/>
              </w:rPr>
            </w:pPr>
            <w:r>
              <w:rPr>
                <w:rFonts w:hint="eastAsia" w:ascii="Times New Roman" w:hAnsi="Times New Roman" w:eastAsia="宋体"/>
                <w:kern w:val="0"/>
                <w:szCs w:val="21"/>
              </w:rPr>
              <w:t>说明</w:t>
            </w:r>
          </w:p>
        </w:tc>
        <w:tc>
          <w:tcPr>
            <w:tcW w:w="8363" w:type="dxa"/>
            <w:gridSpan w:val="2"/>
            <w:tcBorders>
              <w:tl2br w:val="nil"/>
              <w:tr2bl w:val="nil"/>
            </w:tcBorders>
            <w:shd w:val="clear" w:color="auto" w:fill="FFFFFF"/>
            <w:noWrap/>
            <w:vAlign w:val="center"/>
          </w:tcPr>
          <w:p>
            <w:pPr>
              <w:jc w:val="left"/>
              <w:rPr>
                <w:rFonts w:hint="eastAsia"/>
                <w:color w:val="auto"/>
                <w:kern w:val="0"/>
                <w:szCs w:val="21"/>
              </w:rPr>
            </w:pPr>
            <w:r>
              <w:rPr>
                <w:rFonts w:hint="eastAsia"/>
                <w:color w:val="auto"/>
                <w:kern w:val="0"/>
                <w:szCs w:val="21"/>
                <w:lang w:val="en-US" w:eastAsia="zh-CN"/>
              </w:rPr>
              <w:t>1、</w:t>
            </w:r>
            <w:r>
              <w:rPr>
                <w:rFonts w:hint="eastAsia"/>
                <w:color w:val="auto"/>
                <w:kern w:val="0"/>
                <w:szCs w:val="21"/>
              </w:rPr>
              <w:t>产品应含氮、磷</w:t>
            </w:r>
            <w:r>
              <w:rPr>
                <w:rFonts w:hint="eastAsia"/>
                <w:color w:val="auto"/>
                <w:kern w:val="0"/>
                <w:szCs w:val="21"/>
                <w:lang w:eastAsia="zh-CN"/>
              </w:rPr>
              <w:t>、</w:t>
            </w:r>
            <w:r>
              <w:rPr>
                <w:rFonts w:hint="eastAsia"/>
                <w:color w:val="auto"/>
                <w:kern w:val="0"/>
                <w:szCs w:val="21"/>
              </w:rPr>
              <w:t>钾中的至少两种养分</w:t>
            </w:r>
            <w:r>
              <w:rPr>
                <w:rFonts w:hint="eastAsia"/>
                <w:color w:val="auto"/>
                <w:kern w:val="0"/>
                <w:szCs w:val="21"/>
                <w:lang w:eastAsia="zh-CN"/>
              </w:rPr>
              <w:t>，</w:t>
            </w:r>
            <w:r>
              <w:rPr>
                <w:rFonts w:hint="eastAsia"/>
                <w:color w:val="auto"/>
                <w:kern w:val="0"/>
                <w:szCs w:val="21"/>
              </w:rPr>
              <w:t>标明的单一养分应不小于4.0%</w:t>
            </w:r>
            <w:r>
              <w:rPr>
                <w:rFonts w:hint="eastAsia"/>
                <w:color w:val="auto"/>
                <w:kern w:val="0"/>
                <w:szCs w:val="21"/>
                <w:lang w:eastAsia="zh-CN"/>
              </w:rPr>
              <w:t>。</w:t>
            </w:r>
            <w:r>
              <w:rPr>
                <w:rFonts w:hint="eastAsia"/>
                <w:color w:val="auto"/>
                <w:kern w:val="0"/>
                <w:szCs w:val="21"/>
              </w:rPr>
              <w:t>测定值与标明值负偏差的绝对值不应大于</w:t>
            </w:r>
            <w:r>
              <w:rPr>
                <w:rFonts w:hint="eastAsia"/>
                <w:color w:val="auto"/>
                <w:kern w:val="0"/>
                <w:szCs w:val="21"/>
                <w:lang w:val="en-US" w:eastAsia="zh-CN"/>
              </w:rPr>
              <w:t>1.5</w:t>
            </w:r>
            <w:r>
              <w:rPr>
                <w:rFonts w:hint="eastAsia"/>
                <w:color w:val="auto"/>
                <w:kern w:val="0"/>
                <w:szCs w:val="21"/>
              </w:rPr>
              <w:t xml:space="preserve"> %。</w:t>
            </w:r>
          </w:p>
          <w:p>
            <w:pPr>
              <w:jc w:val="left"/>
              <w:rPr>
                <w:rFonts w:hint="eastAsia"/>
                <w:color w:val="auto"/>
                <w:kern w:val="0"/>
                <w:szCs w:val="21"/>
              </w:rPr>
            </w:pPr>
            <w:r>
              <w:rPr>
                <w:rFonts w:hint="eastAsia"/>
                <w:color w:val="auto"/>
                <w:kern w:val="0"/>
                <w:szCs w:val="21"/>
                <w:lang w:val="en-US" w:eastAsia="zh-CN"/>
              </w:rPr>
              <w:t>2、</w:t>
            </w:r>
            <w:r>
              <w:rPr>
                <w:rFonts w:hint="eastAsia"/>
                <w:color w:val="auto"/>
                <w:kern w:val="0"/>
                <w:szCs w:val="21"/>
              </w:rPr>
              <w:t>包装容器上注明为“枸</w:t>
            </w:r>
            <w:r>
              <w:rPr>
                <w:rFonts w:hint="eastAsia"/>
                <w:color w:val="auto"/>
                <w:kern w:val="0"/>
                <w:szCs w:val="21"/>
                <w:lang w:val="en-US" w:eastAsia="zh-CN"/>
              </w:rPr>
              <w:t>溶</w:t>
            </w:r>
            <w:r>
              <w:rPr>
                <w:rFonts w:hint="eastAsia"/>
                <w:color w:val="auto"/>
                <w:kern w:val="0"/>
                <w:szCs w:val="21"/>
              </w:rPr>
              <w:t>性磷”时,“水溶性磷占有效磷百分率”项目不做检验和判定。</w:t>
            </w:r>
          </w:p>
          <w:p>
            <w:pPr>
              <w:jc w:val="left"/>
              <w:rPr>
                <w:rFonts w:hint="eastAsia"/>
                <w:color w:val="auto"/>
                <w:kern w:val="0"/>
                <w:szCs w:val="21"/>
              </w:rPr>
            </w:pPr>
            <w:r>
              <w:rPr>
                <w:rFonts w:hint="eastAsia"/>
                <w:color w:val="auto"/>
                <w:kern w:val="0"/>
                <w:szCs w:val="21"/>
                <w:lang w:val="en-US" w:eastAsia="zh-CN"/>
              </w:rPr>
              <w:t>3、</w:t>
            </w:r>
            <w:r>
              <w:rPr>
                <w:rFonts w:hint="eastAsia"/>
                <w:color w:val="auto"/>
                <w:kern w:val="0"/>
                <w:szCs w:val="21"/>
              </w:rPr>
              <w:t>若为</w:t>
            </w:r>
            <w:r>
              <w:rPr>
                <w:rFonts w:hint="eastAsia"/>
                <w:color w:val="auto"/>
                <w:kern w:val="0"/>
                <w:szCs w:val="21"/>
                <w:lang w:val="en-US" w:eastAsia="zh-CN"/>
              </w:rPr>
              <w:t>氮</w:t>
            </w:r>
            <w:r>
              <w:rPr>
                <w:rFonts w:hint="eastAsia"/>
                <w:color w:val="auto"/>
                <w:kern w:val="0"/>
                <w:szCs w:val="21"/>
              </w:rPr>
              <w:t>、钾二元肥料</w:t>
            </w:r>
            <w:r>
              <w:rPr>
                <w:rFonts w:hint="eastAsia"/>
                <w:color w:val="auto"/>
                <w:kern w:val="0"/>
                <w:szCs w:val="21"/>
                <w:lang w:eastAsia="zh-CN"/>
              </w:rPr>
              <w:t>，“</w:t>
            </w:r>
            <w:r>
              <w:rPr>
                <w:rFonts w:hint="eastAsia"/>
                <w:color w:val="auto"/>
                <w:kern w:val="0"/>
                <w:szCs w:val="21"/>
              </w:rPr>
              <w:t>水溶性磷占有效磷百分率</w:t>
            </w:r>
            <w:r>
              <w:rPr>
                <w:rFonts w:hint="eastAsia"/>
                <w:color w:val="auto"/>
                <w:kern w:val="0"/>
                <w:szCs w:val="21"/>
                <w:lang w:eastAsia="zh-CN"/>
              </w:rPr>
              <w:t>”</w:t>
            </w:r>
            <w:r>
              <w:rPr>
                <w:rFonts w:hint="eastAsia"/>
                <w:color w:val="auto"/>
                <w:kern w:val="0"/>
                <w:szCs w:val="21"/>
              </w:rPr>
              <w:t>项目不做检验和判定。</w:t>
            </w:r>
          </w:p>
          <w:p>
            <w:pPr>
              <w:jc w:val="left"/>
              <w:rPr>
                <w:kern w:val="0"/>
                <w:szCs w:val="21"/>
              </w:rPr>
            </w:pPr>
            <w:r>
              <w:rPr>
                <w:rFonts w:hint="eastAsia"/>
                <w:color w:val="auto"/>
                <w:kern w:val="0"/>
                <w:szCs w:val="21"/>
                <w:lang w:val="en-US" w:eastAsia="zh-CN"/>
              </w:rPr>
              <w:t>4、</w:t>
            </w:r>
            <w:r>
              <w:rPr>
                <w:rFonts w:hint="eastAsia"/>
                <w:color w:val="auto"/>
                <w:kern w:val="0"/>
                <w:szCs w:val="21"/>
              </w:rPr>
              <w:t>对于硝</w:t>
            </w:r>
            <w:r>
              <w:rPr>
                <w:rFonts w:hint="eastAsia"/>
                <w:color w:val="auto"/>
                <w:kern w:val="0"/>
                <w:szCs w:val="21"/>
                <w:lang w:val="en-US" w:eastAsia="zh-CN"/>
              </w:rPr>
              <w:t>氯</w:t>
            </w:r>
            <w:r>
              <w:rPr>
                <w:rFonts w:hint="eastAsia"/>
                <w:color w:val="auto"/>
                <w:kern w:val="0"/>
                <w:szCs w:val="21"/>
              </w:rPr>
              <w:t>基型产品</w:t>
            </w:r>
            <w:r>
              <w:rPr>
                <w:rFonts w:hint="eastAsia"/>
                <w:color w:val="auto"/>
                <w:kern w:val="0"/>
                <w:szCs w:val="21"/>
                <w:lang w:eastAsia="zh-CN"/>
              </w:rPr>
              <w:t>：</w:t>
            </w:r>
            <w:r>
              <w:rPr>
                <w:rFonts w:hint="eastAsia"/>
                <w:color w:val="auto"/>
                <w:kern w:val="0"/>
                <w:szCs w:val="21"/>
              </w:rPr>
              <w:t>氯离子的质</w:t>
            </w:r>
            <w:r>
              <w:rPr>
                <w:rFonts w:hint="eastAsia"/>
                <w:color w:val="auto"/>
                <w:kern w:val="0"/>
                <w:szCs w:val="21"/>
                <w:lang w:val="en-US" w:eastAsia="zh-CN"/>
              </w:rPr>
              <w:t>量分数</w:t>
            </w:r>
            <w:r>
              <w:rPr>
                <w:rFonts w:hint="default" w:ascii="Arial" w:hAnsi="Arial" w:cs="Arial"/>
                <w:color w:val="auto"/>
                <w:kern w:val="0"/>
                <w:szCs w:val="21"/>
              </w:rPr>
              <w:t>≤</w:t>
            </w:r>
            <w:r>
              <w:rPr>
                <w:rFonts w:hint="eastAsia"/>
                <w:color w:val="auto"/>
                <w:kern w:val="0"/>
                <w:szCs w:val="21"/>
                <w:lang w:val="en-US" w:eastAsia="zh-CN"/>
              </w:rPr>
              <w:t>15.0%</w:t>
            </w:r>
            <w:r>
              <w:rPr>
                <w:rFonts w:hint="eastAsia"/>
                <w:color w:val="auto"/>
                <w:kern w:val="0"/>
                <w:szCs w:val="21"/>
              </w:rPr>
              <w:t>的产品</w:t>
            </w:r>
            <w:r>
              <w:rPr>
                <w:rFonts w:hint="eastAsia"/>
                <w:color w:val="auto"/>
                <w:kern w:val="0"/>
                <w:szCs w:val="21"/>
                <w:lang w:eastAsia="zh-CN"/>
              </w:rPr>
              <w:t>，</w:t>
            </w:r>
            <w:r>
              <w:rPr>
                <w:rFonts w:hint="eastAsia"/>
                <w:color w:val="auto"/>
                <w:kern w:val="0"/>
                <w:szCs w:val="21"/>
              </w:rPr>
              <w:t>应在包装</w:t>
            </w:r>
            <w:r>
              <w:rPr>
                <w:rFonts w:hint="eastAsia"/>
                <w:color w:val="auto"/>
                <w:kern w:val="0"/>
                <w:szCs w:val="21"/>
                <w:lang w:val="en-US" w:eastAsia="zh-CN"/>
              </w:rPr>
              <w:t>袋</w:t>
            </w:r>
            <w:r>
              <w:rPr>
                <w:rFonts w:hint="eastAsia"/>
                <w:color w:val="auto"/>
                <w:kern w:val="0"/>
                <w:szCs w:val="21"/>
              </w:rPr>
              <w:t>上标明“含</w:t>
            </w:r>
            <w:r>
              <w:rPr>
                <w:rFonts w:hint="eastAsia"/>
                <w:color w:val="auto"/>
                <w:kern w:val="0"/>
                <w:szCs w:val="21"/>
                <w:lang w:val="en-US" w:eastAsia="zh-CN"/>
              </w:rPr>
              <w:t>氯</w:t>
            </w:r>
            <w:r>
              <w:rPr>
                <w:rFonts w:hint="eastAsia"/>
                <w:color w:val="auto"/>
                <w:kern w:val="0"/>
                <w:szCs w:val="21"/>
              </w:rPr>
              <w:t>(低</w:t>
            </w:r>
            <w:r>
              <w:rPr>
                <w:rFonts w:hint="eastAsia"/>
                <w:color w:val="auto"/>
                <w:kern w:val="0"/>
                <w:szCs w:val="21"/>
                <w:lang w:val="en-US" w:eastAsia="zh-CN"/>
              </w:rPr>
              <w:t>氯</w:t>
            </w:r>
            <w:r>
              <w:rPr>
                <w:rFonts w:hint="eastAsia"/>
                <w:color w:val="auto"/>
                <w:kern w:val="0"/>
                <w:szCs w:val="21"/>
              </w:rPr>
              <w:t>)</w:t>
            </w:r>
            <w:r>
              <w:rPr>
                <w:rFonts w:hint="eastAsia"/>
                <w:color w:val="auto"/>
                <w:kern w:val="0"/>
                <w:szCs w:val="21"/>
                <w:lang w:eastAsia="zh-CN"/>
              </w:rPr>
              <w:t>”；</w:t>
            </w:r>
            <w:r>
              <w:rPr>
                <w:rFonts w:hint="eastAsia"/>
                <w:color w:val="auto"/>
                <w:kern w:val="0"/>
                <w:szCs w:val="21"/>
                <w:lang w:val="en-US" w:eastAsia="zh-CN"/>
              </w:rPr>
              <w:t>氯</w:t>
            </w:r>
            <w:r>
              <w:rPr>
                <w:rFonts w:hint="eastAsia"/>
                <w:color w:val="auto"/>
                <w:kern w:val="0"/>
                <w:szCs w:val="21"/>
              </w:rPr>
              <w:t>离子的质量分数≤30.0%的产品</w:t>
            </w:r>
            <w:r>
              <w:rPr>
                <w:rFonts w:hint="eastAsia"/>
                <w:color w:val="auto"/>
                <w:kern w:val="0"/>
                <w:szCs w:val="21"/>
                <w:lang w:eastAsia="zh-CN"/>
              </w:rPr>
              <w:t>，</w:t>
            </w:r>
            <w:r>
              <w:rPr>
                <w:rFonts w:hint="eastAsia"/>
                <w:color w:val="auto"/>
                <w:kern w:val="0"/>
                <w:szCs w:val="21"/>
              </w:rPr>
              <w:t>应在包</w:t>
            </w:r>
            <w:r>
              <w:rPr>
                <w:rFonts w:hint="eastAsia"/>
                <w:color w:val="auto"/>
                <w:kern w:val="0"/>
                <w:szCs w:val="21"/>
                <w:lang w:val="en-US" w:eastAsia="zh-CN"/>
              </w:rPr>
              <w:t>装</w:t>
            </w:r>
            <w:r>
              <w:rPr>
                <w:rFonts w:hint="eastAsia"/>
                <w:color w:val="auto"/>
                <w:kern w:val="0"/>
                <w:szCs w:val="21"/>
              </w:rPr>
              <w:t>袋上标明“含</w:t>
            </w:r>
            <w:r>
              <w:rPr>
                <w:rFonts w:hint="eastAsia"/>
                <w:color w:val="auto"/>
                <w:kern w:val="0"/>
                <w:szCs w:val="21"/>
                <w:lang w:val="en-US" w:eastAsia="zh-CN"/>
              </w:rPr>
              <w:t>氯</w:t>
            </w:r>
            <w:r>
              <w:rPr>
                <w:rFonts w:hint="eastAsia"/>
                <w:color w:val="auto"/>
                <w:kern w:val="0"/>
                <w:szCs w:val="21"/>
              </w:rPr>
              <w:t>(中</w:t>
            </w:r>
            <w:r>
              <w:rPr>
                <w:rFonts w:hint="eastAsia"/>
                <w:color w:val="auto"/>
                <w:kern w:val="0"/>
                <w:szCs w:val="21"/>
                <w:lang w:val="en-US" w:eastAsia="zh-CN"/>
              </w:rPr>
              <w:t>氯</w:t>
            </w:r>
            <w:r>
              <w:rPr>
                <w:rFonts w:hint="eastAsia"/>
                <w:color w:val="auto"/>
                <w:kern w:val="0"/>
                <w:szCs w:val="21"/>
              </w:rPr>
              <w:t>)</w:t>
            </w:r>
            <w:r>
              <w:rPr>
                <w:rFonts w:hint="eastAsia"/>
                <w:color w:val="auto"/>
                <w:kern w:val="0"/>
                <w:szCs w:val="21"/>
                <w:lang w:eastAsia="zh-CN"/>
              </w:rPr>
              <w:t>”；</w:t>
            </w:r>
            <w:r>
              <w:rPr>
                <w:rFonts w:hint="eastAsia"/>
                <w:color w:val="auto"/>
                <w:kern w:val="0"/>
                <w:szCs w:val="21"/>
              </w:rPr>
              <w:t>氯离子的质</w:t>
            </w:r>
            <w:r>
              <w:rPr>
                <w:rFonts w:hint="eastAsia"/>
                <w:color w:val="auto"/>
                <w:kern w:val="0"/>
                <w:szCs w:val="21"/>
                <w:lang w:val="en-US" w:eastAsia="zh-CN"/>
              </w:rPr>
              <w:t>量</w:t>
            </w:r>
            <w:r>
              <w:rPr>
                <w:rFonts w:hint="eastAsia"/>
                <w:color w:val="auto"/>
                <w:kern w:val="0"/>
                <w:szCs w:val="21"/>
              </w:rPr>
              <w:t>分数&gt;30.0%的产品</w:t>
            </w:r>
            <w:r>
              <w:rPr>
                <w:rFonts w:hint="eastAsia"/>
                <w:color w:val="auto"/>
                <w:kern w:val="0"/>
                <w:szCs w:val="21"/>
                <w:lang w:eastAsia="zh-CN"/>
              </w:rPr>
              <w:t>，</w:t>
            </w:r>
            <w:r>
              <w:rPr>
                <w:rFonts w:hint="eastAsia"/>
                <w:color w:val="auto"/>
                <w:kern w:val="0"/>
                <w:szCs w:val="21"/>
              </w:rPr>
              <w:t>应在包装袋上标明“含</w:t>
            </w:r>
            <w:r>
              <w:rPr>
                <w:rFonts w:hint="eastAsia"/>
                <w:color w:val="auto"/>
                <w:kern w:val="0"/>
                <w:szCs w:val="21"/>
                <w:lang w:val="en-US" w:eastAsia="zh-CN"/>
              </w:rPr>
              <w:t>氯</w:t>
            </w:r>
            <w:r>
              <w:rPr>
                <w:rFonts w:hint="eastAsia"/>
                <w:color w:val="auto"/>
                <w:kern w:val="0"/>
                <w:szCs w:val="21"/>
              </w:rPr>
              <w:t>(高</w:t>
            </w:r>
            <w:r>
              <w:rPr>
                <w:rFonts w:hint="eastAsia"/>
                <w:color w:val="auto"/>
                <w:kern w:val="0"/>
                <w:szCs w:val="21"/>
                <w:lang w:val="en-US" w:eastAsia="zh-CN"/>
              </w:rPr>
              <w:t>氯</w:t>
            </w:r>
            <w:r>
              <w:rPr>
                <w:rFonts w:hint="eastAsia"/>
                <w:color w:val="auto"/>
                <w:kern w:val="0"/>
                <w:szCs w:val="21"/>
              </w:rPr>
              <w:t>)”</w:t>
            </w:r>
            <w:r>
              <w:rPr>
                <w:rFonts w:hint="eastAsia"/>
                <w:color w:val="auto"/>
                <w:kern w:val="0"/>
                <w:szCs w:val="21"/>
                <w:lang w:eastAsia="zh-CN"/>
              </w:rPr>
              <w:t>，</w:t>
            </w:r>
            <w:r>
              <w:rPr>
                <w:rFonts w:hint="eastAsia"/>
                <w:color w:val="auto"/>
                <w:kern w:val="0"/>
                <w:szCs w:val="21"/>
              </w:rPr>
              <w:t>标识</w:t>
            </w:r>
            <w:r>
              <w:rPr>
                <w:rFonts w:hint="eastAsia"/>
                <w:color w:val="auto"/>
                <w:kern w:val="0"/>
                <w:szCs w:val="21"/>
                <w:lang w:eastAsia="zh-CN"/>
              </w:rPr>
              <w:t>“</w:t>
            </w:r>
            <w:r>
              <w:rPr>
                <w:rFonts w:hint="eastAsia"/>
                <w:color w:val="auto"/>
                <w:kern w:val="0"/>
                <w:szCs w:val="21"/>
              </w:rPr>
              <w:t>含氯(高氯)</w:t>
            </w:r>
            <w:r>
              <w:rPr>
                <w:rFonts w:hint="eastAsia"/>
                <w:color w:val="auto"/>
                <w:kern w:val="0"/>
                <w:szCs w:val="21"/>
                <w:lang w:eastAsia="zh-CN"/>
              </w:rPr>
              <w:t>”</w:t>
            </w:r>
            <w:r>
              <w:rPr>
                <w:rFonts w:hint="eastAsia"/>
                <w:color w:val="auto"/>
                <w:kern w:val="0"/>
                <w:szCs w:val="21"/>
              </w:rPr>
              <w:t>的产品</w:t>
            </w:r>
            <w:r>
              <w:rPr>
                <w:rFonts w:hint="eastAsia"/>
                <w:color w:val="auto"/>
                <w:kern w:val="0"/>
                <w:szCs w:val="21"/>
                <w:lang w:eastAsia="zh-CN"/>
              </w:rPr>
              <w:t>，</w:t>
            </w:r>
            <w:r>
              <w:rPr>
                <w:rFonts w:hint="eastAsia"/>
                <w:color w:val="auto"/>
                <w:kern w:val="0"/>
                <w:szCs w:val="21"/>
              </w:rPr>
              <w:t>氯离子的质</w:t>
            </w:r>
            <w:r>
              <w:rPr>
                <w:rFonts w:hint="eastAsia"/>
                <w:color w:val="auto"/>
                <w:kern w:val="0"/>
                <w:szCs w:val="21"/>
                <w:lang w:val="en-US" w:eastAsia="zh-CN"/>
              </w:rPr>
              <w:t>量</w:t>
            </w:r>
            <w:r>
              <w:rPr>
                <w:rFonts w:hint="eastAsia"/>
                <w:color w:val="auto"/>
                <w:kern w:val="0"/>
                <w:szCs w:val="21"/>
              </w:rPr>
              <w:t>分数可不做检</w:t>
            </w:r>
            <w:r>
              <w:rPr>
                <w:rFonts w:hint="eastAsia"/>
                <w:color w:val="auto"/>
                <w:kern w:val="0"/>
                <w:szCs w:val="21"/>
                <w:lang w:val="en-US" w:eastAsia="zh-CN"/>
              </w:rPr>
              <w:t>验</w:t>
            </w:r>
            <w:r>
              <w:rPr>
                <w:rFonts w:hint="eastAsia"/>
                <w:color w:val="auto"/>
                <w:kern w:val="0"/>
                <w:szCs w:val="21"/>
              </w:rPr>
              <w:t>和判定。</w:t>
            </w:r>
          </w:p>
        </w:tc>
      </w:tr>
    </w:tbl>
    <w:p>
      <w:pPr>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pPr>
        <w:spacing w:line="440" w:lineRule="exact"/>
        <w:ind w:firstLine="420" w:firstLineChars="200"/>
        <w:rPr>
          <w:rFonts w:hint="eastAsia"/>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440" w:lineRule="exact"/>
        <w:ind w:firstLine="420" w:firstLineChars="200"/>
        <w:rPr>
          <w:rFonts w:hint="eastAsia"/>
          <w:color w:val="000000"/>
          <w:szCs w:val="21"/>
        </w:rPr>
      </w:pPr>
    </w:p>
    <w:p>
      <w:pPr>
        <w:spacing w:line="440" w:lineRule="exact"/>
        <w:rPr>
          <w:color w:val="000000"/>
          <w:szCs w:val="21"/>
        </w:rPr>
      </w:pPr>
      <w:r>
        <w:rPr>
          <w:rFonts w:hint="eastAsia"/>
          <w:color w:val="000000"/>
          <w:szCs w:val="21"/>
        </w:rPr>
        <w:t>3 判定规则</w:t>
      </w:r>
    </w:p>
    <w:p>
      <w:pPr>
        <w:spacing w:line="440" w:lineRule="exact"/>
        <w:rPr>
          <w:color w:val="000000"/>
          <w:szCs w:val="21"/>
        </w:rPr>
      </w:pPr>
      <w:r>
        <w:rPr>
          <w:rFonts w:hint="eastAsia"/>
          <w:color w:val="000000"/>
          <w:szCs w:val="21"/>
        </w:rPr>
        <w:t>3.1依据标准</w:t>
      </w:r>
    </w:p>
    <w:p>
      <w:pPr>
        <w:keepNext w:val="0"/>
        <w:keepLines w:val="0"/>
        <w:pageBreakBefore w:val="0"/>
        <w:kinsoku/>
        <w:wordWrap/>
        <w:overflowPunct/>
        <w:topLinePunct w:val="0"/>
        <w:autoSpaceDE/>
        <w:autoSpaceDN/>
        <w:bidi w:val="0"/>
        <w:adjustRightInd/>
        <w:snapToGrid w:val="0"/>
        <w:spacing w:line="440" w:lineRule="exact"/>
        <w:ind w:firstLine="210" w:firstLineChars="100"/>
        <w:textAlignment w:val="auto"/>
        <w:rPr>
          <w:color w:val="000000"/>
          <w:szCs w:val="21"/>
        </w:rPr>
      </w:pPr>
      <w:r>
        <w:rPr>
          <w:rFonts w:hint="eastAsia"/>
          <w:color w:val="000000"/>
          <w:szCs w:val="21"/>
        </w:rPr>
        <w:t>GB 18382—2021 肥料标识 内容和要求</w:t>
      </w:r>
    </w:p>
    <w:p>
      <w:pPr>
        <w:keepNext w:val="0"/>
        <w:keepLines w:val="0"/>
        <w:pageBreakBefore w:val="0"/>
        <w:kinsoku/>
        <w:wordWrap/>
        <w:overflowPunct/>
        <w:topLinePunct w:val="0"/>
        <w:autoSpaceDE/>
        <w:autoSpaceDN/>
        <w:bidi w:val="0"/>
        <w:adjustRightInd/>
        <w:snapToGrid w:val="0"/>
        <w:spacing w:line="440" w:lineRule="exact"/>
        <w:ind w:firstLine="210" w:firstLineChars="100"/>
        <w:textAlignment w:val="auto"/>
        <w:rPr>
          <w:color w:val="000000"/>
          <w:szCs w:val="21"/>
        </w:rPr>
      </w:pPr>
      <w:r>
        <w:rPr>
          <w:rFonts w:hint="eastAsia"/>
          <w:color w:val="000000"/>
          <w:szCs w:val="21"/>
        </w:rPr>
        <w:t>GB 38400—2019 肥料中有毒有害物质的限量要求</w:t>
      </w:r>
    </w:p>
    <w:p>
      <w:pPr>
        <w:keepNext w:val="0"/>
        <w:keepLines w:val="0"/>
        <w:pageBreakBefore w:val="0"/>
        <w:kinsoku/>
        <w:wordWrap/>
        <w:overflowPunct/>
        <w:topLinePunct w:val="0"/>
        <w:autoSpaceDE/>
        <w:autoSpaceDN/>
        <w:bidi w:val="0"/>
        <w:adjustRightInd/>
        <w:snapToGrid w:val="0"/>
        <w:spacing w:line="440" w:lineRule="exact"/>
        <w:ind w:firstLine="210" w:firstLineChars="100"/>
        <w:textAlignment w:val="auto"/>
        <w:rPr>
          <w:rFonts w:hint="eastAsia"/>
          <w:color w:val="000000"/>
          <w:szCs w:val="21"/>
        </w:rPr>
      </w:pPr>
      <w:r>
        <w:rPr>
          <w:rFonts w:hint="eastAsia"/>
          <w:color w:val="000000"/>
          <w:szCs w:val="21"/>
        </w:rPr>
        <w:t>GB/T 15063—2020 复合肥料</w:t>
      </w:r>
    </w:p>
    <w:p>
      <w:pPr>
        <w:keepNext w:val="0"/>
        <w:keepLines w:val="0"/>
        <w:pageBreakBefore w:val="0"/>
        <w:kinsoku/>
        <w:wordWrap/>
        <w:overflowPunct/>
        <w:topLinePunct w:val="0"/>
        <w:autoSpaceDE/>
        <w:autoSpaceDN/>
        <w:bidi w:val="0"/>
        <w:adjustRightInd/>
        <w:snapToGrid w:val="0"/>
        <w:spacing w:line="440" w:lineRule="exact"/>
        <w:ind w:firstLine="210" w:firstLineChars="100"/>
        <w:textAlignment w:val="auto"/>
        <w:rPr>
          <w:color w:val="000000"/>
          <w:szCs w:val="21"/>
        </w:rPr>
      </w:pPr>
      <w:r>
        <w:rPr>
          <w:rFonts w:hint="eastAsia"/>
          <w:color w:val="000000"/>
          <w:szCs w:val="21"/>
        </w:rPr>
        <w:t>GB/T 18877—2020 有机无机复混肥料</w:t>
      </w:r>
      <w:r>
        <w:rPr>
          <w:rFonts w:hint="eastAsia"/>
          <w:kern w:val="0"/>
          <w:szCs w:val="21"/>
          <w:lang w:eastAsia="zh-CN"/>
        </w:rPr>
        <w:t>（</w:t>
      </w:r>
      <w:r>
        <w:rPr>
          <w:rFonts w:hint="eastAsia"/>
          <w:kern w:val="0"/>
          <w:szCs w:val="21"/>
          <w:lang w:val="en-US" w:eastAsia="zh-CN"/>
        </w:rPr>
        <w:t>含</w:t>
      </w:r>
      <w:r>
        <w:rPr>
          <w:rFonts w:hint="eastAsia"/>
          <w:kern w:val="0"/>
          <w:szCs w:val="21"/>
          <w:lang w:eastAsia="zh-CN"/>
        </w:rPr>
        <w:t>第1号修改单）</w:t>
      </w:r>
    </w:p>
    <w:p>
      <w:pPr>
        <w:keepNext w:val="0"/>
        <w:keepLines w:val="0"/>
        <w:pageBreakBefore w:val="0"/>
        <w:kinsoku/>
        <w:wordWrap/>
        <w:overflowPunct/>
        <w:topLinePunct w:val="0"/>
        <w:autoSpaceDE/>
        <w:autoSpaceDN/>
        <w:bidi w:val="0"/>
        <w:adjustRightInd/>
        <w:snapToGrid w:val="0"/>
        <w:spacing w:line="440" w:lineRule="exact"/>
        <w:ind w:firstLine="210" w:firstLineChars="100"/>
        <w:textAlignment w:val="auto"/>
        <w:rPr>
          <w:rFonts w:hint="eastAsia"/>
          <w:color w:val="000000"/>
          <w:szCs w:val="21"/>
        </w:rPr>
      </w:pPr>
      <w:r>
        <w:rPr>
          <w:rFonts w:hint="eastAsia"/>
          <w:color w:val="000000"/>
          <w:szCs w:val="21"/>
        </w:rPr>
        <w:t>GB/T 21633—2020 掺混肥料（BB肥）</w:t>
      </w:r>
    </w:p>
    <w:p>
      <w:pPr>
        <w:keepNext w:val="0"/>
        <w:keepLines w:val="0"/>
        <w:pageBreakBefore w:val="0"/>
        <w:kinsoku/>
        <w:wordWrap/>
        <w:overflowPunct/>
        <w:topLinePunct w:val="0"/>
        <w:autoSpaceDE/>
        <w:autoSpaceDN/>
        <w:bidi w:val="0"/>
        <w:adjustRightInd/>
        <w:snapToGrid w:val="0"/>
        <w:spacing w:line="440" w:lineRule="exact"/>
        <w:ind w:firstLine="210" w:firstLineChars="100"/>
        <w:textAlignment w:val="auto"/>
        <w:rPr>
          <w:rFonts w:hint="default"/>
          <w:color w:val="auto"/>
          <w:szCs w:val="21"/>
          <w:lang w:val="en-US"/>
        </w:rPr>
      </w:pPr>
      <w:r>
        <w:rPr>
          <w:rFonts w:hint="eastAsia"/>
          <w:color w:val="auto"/>
          <w:kern w:val="0"/>
          <w:szCs w:val="21"/>
          <w:lang w:val="en-US" w:eastAsia="zh-CN"/>
        </w:rPr>
        <w:t>H</w:t>
      </w:r>
      <w:r>
        <w:rPr>
          <w:color w:val="auto"/>
          <w:kern w:val="0"/>
          <w:szCs w:val="21"/>
        </w:rPr>
        <w:t xml:space="preserve">G/T </w:t>
      </w:r>
      <w:r>
        <w:rPr>
          <w:rFonts w:hint="eastAsia"/>
          <w:color w:val="auto"/>
          <w:kern w:val="0"/>
          <w:szCs w:val="21"/>
          <w:lang w:val="en-US" w:eastAsia="zh-CN"/>
        </w:rPr>
        <w:t>4851-2016 硝基复合肥料</w:t>
      </w:r>
    </w:p>
    <w:p>
      <w:pPr>
        <w:spacing w:line="440" w:lineRule="exact"/>
        <w:ind w:firstLine="420" w:firstLineChars="200"/>
        <w:rPr>
          <w:color w:val="000000"/>
          <w:szCs w:val="21"/>
        </w:rPr>
      </w:pPr>
      <w:r>
        <w:rPr>
          <w:rFonts w:hint="eastAsia"/>
          <w:color w:val="000000"/>
          <w:szCs w:val="21"/>
        </w:rPr>
        <w:t>现行有效的企业标准、团体标准、地方标准及产品明示质量要求</w:t>
      </w:r>
    </w:p>
    <w:p>
      <w:pPr>
        <w:spacing w:line="440" w:lineRule="exact"/>
        <w:rPr>
          <w:color w:val="000000"/>
          <w:szCs w:val="21"/>
        </w:rPr>
      </w:pPr>
      <w:r>
        <w:rPr>
          <w:rFonts w:hint="eastAsia"/>
          <w:color w:val="000000"/>
          <w:szCs w:val="21"/>
        </w:rPr>
        <w:t>3.2判定原则</w:t>
      </w:r>
    </w:p>
    <w:p>
      <w:pPr>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pPr>
        <w:spacing w:line="440" w:lineRule="exact"/>
        <w:ind w:firstLine="420" w:firstLineChars="200"/>
        <w:rPr>
          <w:color w:val="000000"/>
          <w:szCs w:val="21"/>
        </w:rPr>
      </w:pPr>
      <w:r>
        <w:rPr>
          <w:rFonts w:hint="eastAsia"/>
          <w:color w:val="000000"/>
          <w:szCs w:val="21"/>
        </w:rPr>
        <w:t>若被检产品明示的质量要求高于本细则中检验项目依据的标准要求时，应按被检产品明示的质量要求判定。</w:t>
      </w:r>
    </w:p>
    <w:p>
      <w:pPr>
        <w:spacing w:line="440" w:lineRule="exact"/>
        <w:ind w:firstLine="420" w:firstLineChars="200"/>
        <w:rPr>
          <w:color w:val="000000"/>
          <w:szCs w:val="21"/>
        </w:rPr>
      </w:pPr>
      <w:r>
        <w:rPr>
          <w:rFonts w:hint="eastAsia"/>
          <w:color w:val="000000"/>
          <w:szCs w:val="21"/>
        </w:rPr>
        <w:t>若被检产品明示的质量要求低于本细则中检验项目依据的强制性标准要求时，应按照强制性标准要求判定。</w:t>
      </w:r>
    </w:p>
    <w:p>
      <w:pPr>
        <w:spacing w:line="440" w:lineRule="exact"/>
        <w:ind w:firstLine="420" w:firstLineChars="200"/>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spacing w:line="440" w:lineRule="exact"/>
        <w:ind w:firstLine="420" w:firstLineChars="200"/>
        <w:rPr>
          <w:color w:val="000000"/>
          <w:szCs w:val="21"/>
        </w:rPr>
      </w:pPr>
      <w:r>
        <w:rPr>
          <w:rFonts w:hint="eastAsia"/>
          <w:color w:val="000000"/>
          <w:szCs w:val="21"/>
        </w:rPr>
        <w:t>若被检产品明示的质量要求缺少本细则中检验项目依据的强制性标准要求时，应按照强制性标准要求判定。</w:t>
      </w:r>
    </w:p>
    <w:p>
      <w:pPr>
        <w:spacing w:line="440" w:lineRule="exact"/>
        <w:ind w:firstLine="420" w:firstLineChars="200"/>
        <w:rPr>
          <w:rFonts w:hint="eastAsia"/>
          <w:color w:val="000000"/>
          <w:szCs w:val="21"/>
        </w:rPr>
      </w:pPr>
      <w:r>
        <w:rPr>
          <w:rFonts w:hint="eastAsia"/>
          <w:color w:val="000000"/>
          <w:szCs w:val="21"/>
        </w:rPr>
        <w:t>若被检产品明示的质量要求缺少本细则中检验项目依据的推荐性标准要求时，该项目不参与判定。</w:t>
      </w:r>
    </w:p>
    <w:p>
      <w:pPr>
        <w:spacing w:line="440" w:lineRule="exact"/>
        <w:ind w:firstLine="420" w:firstLineChars="200"/>
        <w:rPr>
          <w:rFonts w:hint="eastAsia"/>
          <w:color w:val="000000"/>
          <w:szCs w:val="21"/>
        </w:rPr>
      </w:pPr>
    </w:p>
    <w:p>
      <w:pPr>
        <w:spacing w:line="440" w:lineRule="exact"/>
        <w:rPr>
          <w:rFonts w:eastAsia="黑体"/>
          <w:szCs w:val="21"/>
        </w:rPr>
      </w:pPr>
      <w:r>
        <w:rPr>
          <w:rFonts w:eastAsia="黑体"/>
          <w:szCs w:val="21"/>
        </w:rPr>
        <w:t>4 附则</w:t>
      </w:r>
    </w:p>
    <w:p>
      <w:pPr>
        <w:snapToGrid w:val="0"/>
        <w:spacing w:line="440" w:lineRule="exact"/>
        <w:ind w:firstLine="420" w:firstLineChars="200"/>
        <w:rPr>
          <w:rFonts w:hint="eastAsia"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本细则代替《贵州省市场</w:t>
      </w:r>
      <w:r>
        <w:rPr>
          <w:rFonts w:hint="eastAsia" w:cs="Times New Roman"/>
          <w:color w:val="000000" w:themeColor="text1"/>
          <w:lang w:val="en-US" w:eastAsia="zh-CN"/>
          <w14:textFill>
            <w14:solidFill>
              <w14:schemeClr w14:val="tx1"/>
            </w14:solidFill>
          </w14:textFill>
        </w:rPr>
        <w:t>监督管理局</w:t>
      </w:r>
      <w:r>
        <w:rPr>
          <w:rFonts w:hint="default" w:ascii="Times New Roman" w:hAnsi="Times New Roman" w:cs="Times New Roman"/>
          <w:color w:val="000000" w:themeColor="text1"/>
          <w:lang w:eastAsia="zh-CN"/>
          <w14:textFill>
            <w14:solidFill>
              <w14:schemeClr w14:val="tx1"/>
            </w14:solidFill>
          </w14:textFill>
        </w:rPr>
        <w:t>关于发布</w:t>
      </w:r>
      <w:r>
        <w:rPr>
          <w:rFonts w:hint="eastAsia" w:cs="Times New Roman"/>
          <w:color w:val="000000" w:themeColor="text1"/>
          <w:lang w:val="en-US" w:eastAsia="zh-CN"/>
          <w14:textFill>
            <w14:solidFill>
              <w14:schemeClr w14:val="tx1"/>
            </w14:solidFill>
          </w14:textFill>
        </w:rPr>
        <w:t>贵州省</w:t>
      </w:r>
      <w:r>
        <w:rPr>
          <w:rFonts w:hint="default" w:ascii="Times New Roman" w:hAnsi="Times New Roman" w:cs="Times New Roman"/>
          <w:color w:val="000000" w:themeColor="text1"/>
          <w:lang w:eastAsia="zh-CN"/>
          <w14:textFill>
            <w14:solidFill>
              <w14:schemeClr w14:val="tx1"/>
            </w14:solidFill>
          </w14:textFill>
        </w:rPr>
        <w:t>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年版</w:t>
      </w:r>
      <w:r>
        <w:rPr>
          <w:rFonts w:hint="eastAsia" w:cs="Times New Roman"/>
          <w:color w:val="000000" w:themeColor="text1"/>
          <w:lang w:val="en-US" w:eastAsia="zh-CN"/>
          <w14:textFill>
            <w14:solidFill>
              <w14:schemeClr w14:val="tx1"/>
            </w14:solidFill>
          </w14:textFill>
        </w:rPr>
        <w:t>安抚奶嘴</w:t>
      </w:r>
      <w:r>
        <w:rPr>
          <w:rFonts w:hint="default" w:ascii="Times New Roman" w:hAnsi="Times New Roman" w:cs="Times New Roman"/>
          <w:color w:val="000000" w:themeColor="text1"/>
          <w:lang w:eastAsia="zh-CN"/>
          <w14:textFill>
            <w14:solidFill>
              <w14:schemeClr w14:val="tx1"/>
            </w14:solidFill>
          </w14:textFill>
        </w:rPr>
        <w:t>等1</w:t>
      </w:r>
      <w:r>
        <w:rPr>
          <w:rFonts w:hint="eastAsia" w:cs="Times New Roman"/>
          <w:color w:val="000000" w:themeColor="text1"/>
          <w:lang w:val="en-US" w:eastAsia="zh-CN"/>
          <w14:textFill>
            <w14:solidFill>
              <w14:schemeClr w14:val="tx1"/>
            </w14:solidFill>
          </w14:textFill>
        </w:rPr>
        <w:t>86</w:t>
      </w:r>
      <w:r>
        <w:rPr>
          <w:rFonts w:hint="default" w:ascii="Times New Roman" w:hAnsi="Times New Roman" w:cs="Times New Roman"/>
          <w:color w:val="000000" w:themeColor="text1"/>
          <w:lang w:eastAsia="zh-CN"/>
          <w14:textFill>
            <w14:solidFill>
              <w14:schemeClr w14:val="tx1"/>
            </w14:solidFill>
          </w14:textFill>
        </w:rPr>
        <w:t>种产品质量监督抽查实施细则的</w:t>
      </w:r>
      <w:r>
        <w:rPr>
          <w:rFonts w:hint="eastAsia" w:cs="Times New Roman"/>
          <w:color w:val="000000" w:themeColor="text1"/>
          <w:lang w:val="en-US" w:eastAsia="zh-CN"/>
          <w14:textFill>
            <w14:solidFill>
              <w14:schemeClr w14:val="tx1"/>
            </w14:solidFill>
          </w14:textFill>
        </w:rPr>
        <w:t>通</w:t>
      </w:r>
      <w:r>
        <w:rPr>
          <w:rFonts w:hint="default" w:ascii="Times New Roman" w:hAnsi="Times New Roman" w:cs="Times New Roman"/>
          <w:color w:val="000000" w:themeColor="text1"/>
          <w:lang w:eastAsia="zh-CN"/>
          <w14:textFill>
            <w14:solidFill>
              <w14:schemeClr w14:val="tx1"/>
            </w14:solidFill>
          </w14:textFill>
        </w:rPr>
        <w:t>告》中的</w:t>
      </w:r>
      <w:r>
        <w:rPr>
          <w:rFonts w:hint="default" w:ascii="Times New Roman" w:hAnsi="Times New Roman" w:cs="Times New Roman"/>
          <w:color w:val="000000" w:themeColor="text1"/>
          <w14:textFill>
            <w14:solidFill>
              <w14:schemeClr w14:val="tx1"/>
            </w14:solidFill>
          </w14:textFill>
        </w:rPr>
        <w:t>《贵州省</w:t>
      </w:r>
      <w:r>
        <w:rPr>
          <w:rFonts w:hint="eastAsia" w:ascii="宋体" w:hAnsi="宋体" w:eastAsia="宋体" w:cs="宋体"/>
          <w:color w:val="000000"/>
          <w:sz w:val="21"/>
          <w:szCs w:val="21"/>
          <w:lang w:val="en-US" w:eastAsia="zh-CN"/>
        </w:rPr>
        <w:t>复肥</w:t>
      </w:r>
      <w:r>
        <w:rPr>
          <w:rFonts w:hint="default" w:ascii="Times New Roman" w:hAnsi="Times New Roman" w:cs="Times New Roman"/>
          <w:color w:val="000000" w:themeColor="text1"/>
          <w14:textFill>
            <w14:solidFill>
              <w14:schemeClr w14:val="tx1"/>
            </w14:solidFill>
          </w14:textFill>
        </w:rPr>
        <w:t>产品质量监督抽查实施细则（202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年版）》。</w:t>
      </w:r>
      <w:bookmarkStart w:id="2" w:name="_GoBack"/>
      <w:bookmarkEnd w:id="2"/>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长城大标宋体">
    <w:panose1 w:val="0201060901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en-US"/>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4DE7DD"/>
    <w:multiLevelType w:val="singleLevel"/>
    <w:tmpl w:val="CD4DE7DD"/>
    <w:lvl w:ilvl="0" w:tentative="0">
      <w:start w:val="1"/>
      <w:numFmt w:val="decimal"/>
      <w:suff w:val="nothing"/>
      <w:lvlText w:val="%1、"/>
      <w:lvlJc w:val="left"/>
    </w:lvl>
  </w:abstractNum>
  <w:abstractNum w:abstractNumId="1">
    <w:nsid w:val="2E2E9D53"/>
    <w:multiLevelType w:val="multilevel"/>
    <w:tmpl w:val="2E2E9D5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941181D"/>
    <w:multiLevelType w:val="singleLevel"/>
    <w:tmpl w:val="6941181D"/>
    <w:lvl w:ilvl="0" w:tentative="0">
      <w:start w:val="1"/>
      <w:numFmt w:val="decimal"/>
      <w:suff w:val="nothing"/>
      <w:lvlText w:val="%1、"/>
      <w:lvlJc w:val="left"/>
    </w:lvl>
  </w:abstractNum>
  <w:abstractNum w:abstractNumId="5">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ZmM4MTM5MmJlM2EyMDJmZmViNTJiYzBhZGZiMjcifQ=="/>
  </w:docVars>
  <w:rsids>
    <w:rsidRoot w:val="00B4742C"/>
    <w:rsid w:val="00007B52"/>
    <w:rsid w:val="00024CC3"/>
    <w:rsid w:val="00033253"/>
    <w:rsid w:val="00051927"/>
    <w:rsid w:val="000658AA"/>
    <w:rsid w:val="00066F91"/>
    <w:rsid w:val="000A2665"/>
    <w:rsid w:val="000A6860"/>
    <w:rsid w:val="000F3245"/>
    <w:rsid w:val="000F3931"/>
    <w:rsid w:val="001073A9"/>
    <w:rsid w:val="00110537"/>
    <w:rsid w:val="0011451A"/>
    <w:rsid w:val="00146928"/>
    <w:rsid w:val="001525ED"/>
    <w:rsid w:val="00173A55"/>
    <w:rsid w:val="001C4DD7"/>
    <w:rsid w:val="001D6315"/>
    <w:rsid w:val="001F7898"/>
    <w:rsid w:val="00201656"/>
    <w:rsid w:val="00272480"/>
    <w:rsid w:val="002A0CD5"/>
    <w:rsid w:val="002A6289"/>
    <w:rsid w:val="002E165D"/>
    <w:rsid w:val="00303747"/>
    <w:rsid w:val="003116A5"/>
    <w:rsid w:val="00335A02"/>
    <w:rsid w:val="003416E6"/>
    <w:rsid w:val="003519D7"/>
    <w:rsid w:val="003B0CD8"/>
    <w:rsid w:val="003C0A55"/>
    <w:rsid w:val="003C58A5"/>
    <w:rsid w:val="003C7914"/>
    <w:rsid w:val="003D639B"/>
    <w:rsid w:val="003E24F8"/>
    <w:rsid w:val="003F2646"/>
    <w:rsid w:val="00406132"/>
    <w:rsid w:val="00462F0D"/>
    <w:rsid w:val="00491D5A"/>
    <w:rsid w:val="004C3B18"/>
    <w:rsid w:val="004D31EE"/>
    <w:rsid w:val="004E403E"/>
    <w:rsid w:val="00536FC4"/>
    <w:rsid w:val="00553958"/>
    <w:rsid w:val="0056114F"/>
    <w:rsid w:val="0059440A"/>
    <w:rsid w:val="00595679"/>
    <w:rsid w:val="005C0B9D"/>
    <w:rsid w:val="00600B9F"/>
    <w:rsid w:val="00641194"/>
    <w:rsid w:val="00664070"/>
    <w:rsid w:val="006712F7"/>
    <w:rsid w:val="006D226F"/>
    <w:rsid w:val="006D3C73"/>
    <w:rsid w:val="006E32D1"/>
    <w:rsid w:val="006E333A"/>
    <w:rsid w:val="0070079E"/>
    <w:rsid w:val="00761E48"/>
    <w:rsid w:val="00784764"/>
    <w:rsid w:val="00794DED"/>
    <w:rsid w:val="007B66FE"/>
    <w:rsid w:val="007C3C13"/>
    <w:rsid w:val="007F001D"/>
    <w:rsid w:val="007F0FC1"/>
    <w:rsid w:val="007F750A"/>
    <w:rsid w:val="008B2D53"/>
    <w:rsid w:val="008F6FFF"/>
    <w:rsid w:val="0090340F"/>
    <w:rsid w:val="00910905"/>
    <w:rsid w:val="00920FC2"/>
    <w:rsid w:val="0097773F"/>
    <w:rsid w:val="009A557C"/>
    <w:rsid w:val="009A7993"/>
    <w:rsid w:val="009E2EEC"/>
    <w:rsid w:val="009E4CA3"/>
    <w:rsid w:val="00A76D35"/>
    <w:rsid w:val="00AD22C2"/>
    <w:rsid w:val="00B06250"/>
    <w:rsid w:val="00B4742C"/>
    <w:rsid w:val="00B50A57"/>
    <w:rsid w:val="00BB6F69"/>
    <w:rsid w:val="00BC364A"/>
    <w:rsid w:val="00BD5A63"/>
    <w:rsid w:val="00C023D1"/>
    <w:rsid w:val="00C2597E"/>
    <w:rsid w:val="00C50BB6"/>
    <w:rsid w:val="00C81FA6"/>
    <w:rsid w:val="00C8492D"/>
    <w:rsid w:val="00C96F14"/>
    <w:rsid w:val="00CA1052"/>
    <w:rsid w:val="00CA2402"/>
    <w:rsid w:val="00CC2D8D"/>
    <w:rsid w:val="00D14605"/>
    <w:rsid w:val="00D86E21"/>
    <w:rsid w:val="00DA208C"/>
    <w:rsid w:val="00DB1312"/>
    <w:rsid w:val="00DE0D14"/>
    <w:rsid w:val="00DF53CB"/>
    <w:rsid w:val="00E12338"/>
    <w:rsid w:val="00E16EF9"/>
    <w:rsid w:val="00E45DAA"/>
    <w:rsid w:val="00E61F97"/>
    <w:rsid w:val="00E6639E"/>
    <w:rsid w:val="00EA081A"/>
    <w:rsid w:val="00EA3D06"/>
    <w:rsid w:val="00F01B54"/>
    <w:rsid w:val="00F54155"/>
    <w:rsid w:val="00FB1BD0"/>
    <w:rsid w:val="00FD41E3"/>
    <w:rsid w:val="00FD4E25"/>
    <w:rsid w:val="07EF43B0"/>
    <w:rsid w:val="0AB5167F"/>
    <w:rsid w:val="106946FA"/>
    <w:rsid w:val="129822C4"/>
    <w:rsid w:val="13A617CC"/>
    <w:rsid w:val="1450300D"/>
    <w:rsid w:val="183C368B"/>
    <w:rsid w:val="23025129"/>
    <w:rsid w:val="2652031D"/>
    <w:rsid w:val="26F80E4A"/>
    <w:rsid w:val="270575F6"/>
    <w:rsid w:val="28067DF8"/>
    <w:rsid w:val="2AF06156"/>
    <w:rsid w:val="2BA671F3"/>
    <w:rsid w:val="2E156399"/>
    <w:rsid w:val="2FA0108A"/>
    <w:rsid w:val="388C7407"/>
    <w:rsid w:val="39C33783"/>
    <w:rsid w:val="3B5C4F9B"/>
    <w:rsid w:val="3FEE7608"/>
    <w:rsid w:val="40143C0F"/>
    <w:rsid w:val="43866AFE"/>
    <w:rsid w:val="48DB6736"/>
    <w:rsid w:val="4FE79F28"/>
    <w:rsid w:val="5246001F"/>
    <w:rsid w:val="542C11D1"/>
    <w:rsid w:val="54BC073D"/>
    <w:rsid w:val="55081699"/>
    <w:rsid w:val="56773FE7"/>
    <w:rsid w:val="56D356C3"/>
    <w:rsid w:val="57C42913"/>
    <w:rsid w:val="58227705"/>
    <w:rsid w:val="595B1A1E"/>
    <w:rsid w:val="5CA62C3F"/>
    <w:rsid w:val="5DA16005"/>
    <w:rsid w:val="5F65146B"/>
    <w:rsid w:val="5FAF2DE6"/>
    <w:rsid w:val="64BA0EF3"/>
    <w:rsid w:val="65BE4F6C"/>
    <w:rsid w:val="71897BA6"/>
    <w:rsid w:val="76C6377E"/>
    <w:rsid w:val="7BB32881"/>
    <w:rsid w:val="7E0D1299"/>
    <w:rsid w:val="7FCA5580"/>
    <w:rsid w:val="7FDFC529"/>
    <w:rsid w:val="7FFE5DEA"/>
    <w:rsid w:val="7FFF81B8"/>
    <w:rsid w:val="B9FB439B"/>
    <w:rsid w:val="DDFF18FA"/>
    <w:rsid w:val="F77CD4A6"/>
    <w:rsid w:val="FABF65CA"/>
    <w:rsid w:val="FDF4C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lang w:val="zh-CN"/>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4">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styleId="7">
    <w:name w:val="page number"/>
    <w:qFormat/>
    <w:uiPriority w:val="0"/>
  </w:style>
  <w:style w:type="character" w:customStyle="1" w:styleId="8">
    <w:name w:val="页脚 字符"/>
    <w:basedOn w:val="6"/>
    <w:semiHidden/>
    <w:qFormat/>
    <w:uiPriority w:val="99"/>
    <w:rPr>
      <w:rFonts w:ascii="Times New Roman" w:hAnsi="Times New Roman" w:eastAsia="宋体" w:cs="Times New Roman"/>
      <w:sz w:val="18"/>
      <w:szCs w:val="18"/>
    </w:rPr>
  </w:style>
  <w:style w:type="character" w:customStyle="1" w:styleId="9">
    <w:name w:val="页脚 字符1"/>
    <w:link w:val="2"/>
    <w:qFormat/>
    <w:uiPriority w:val="99"/>
    <w:rPr>
      <w:rFonts w:ascii="Times New Roman" w:hAnsi="Times New Roman" w:eastAsia="宋体" w:cs="Times New Roman"/>
      <w:sz w:val="18"/>
      <w:szCs w:val="18"/>
      <w:lang w:val="zh-CN" w:eastAsia="zh-CN"/>
    </w:rPr>
  </w:style>
  <w:style w:type="character" w:customStyle="1" w:styleId="10">
    <w:name w:val="页眉 字符"/>
    <w:basedOn w:val="6"/>
    <w:semiHidden/>
    <w:qFormat/>
    <w:uiPriority w:val="99"/>
    <w:rPr>
      <w:rFonts w:ascii="Times New Roman" w:hAnsi="Times New Roman" w:eastAsia="宋体" w:cs="Times New Roman"/>
      <w:sz w:val="18"/>
      <w:szCs w:val="18"/>
    </w:rPr>
  </w:style>
  <w:style w:type="character" w:customStyle="1" w:styleId="11">
    <w:name w:val="页眉 字符1"/>
    <w:link w:val="3"/>
    <w:qFormat/>
    <w:uiPriority w:val="99"/>
    <w:rPr>
      <w:rFonts w:ascii="Times New Roman" w:hAnsi="Times New Roman" w:eastAsia="宋体" w:cs="Times New Roman"/>
      <w:sz w:val="18"/>
      <w:szCs w:val="18"/>
      <w:lang w:val="zh-CN" w:eastAsia="zh-CN"/>
    </w:rPr>
  </w:style>
  <w:style w:type="paragraph" w:styleId="12">
    <w:name w:val="List Paragraph"/>
    <w:basedOn w:val="1"/>
    <w:qFormat/>
    <w:uiPriority w:val="34"/>
    <w:pPr>
      <w:ind w:firstLine="420" w:firstLineChars="200"/>
    </w:pPr>
    <w:rPr>
      <w:rFonts w:ascii="等线" w:hAnsi="等线" w:eastAsia="等线"/>
      <w:szCs w:val="22"/>
    </w:r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2530</Words>
  <Characters>4179</Characters>
  <Lines>22</Lines>
  <Paragraphs>6</Paragraphs>
  <TotalTime>33</TotalTime>
  <ScaleCrop>false</ScaleCrop>
  <LinksUpToDate>false</LinksUpToDate>
  <CharactersWithSpaces>4328</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2022-05-15T06:42:00Z</dcterms:created>
  <dc:creator>Admin</dc:creator>
  <cp:lastModifiedBy>ysgz</cp:lastModifiedBy>
  <cp:lastPrinted>2023-07-07T06:21:00Z</cp:lastPrinted>
  <dcterms:modified xsi:type="dcterms:W3CDTF">2026-04-20T16:54:39Z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06AD8C829C5645C3A192903B42544256_13</vt:lpwstr>
  </property>
  <property fmtid="{D5CDD505-2E9C-101B-9397-08002B2CF9AE}" pid="4" name="KSOTemplateDocerSaveRecord">
    <vt:lpwstr>eyJoZGlkIjoiYzNjY2JmMjNlMDllNWU1MDA5OTIxN2JjZTI4MjBkZTMiLCJ1c2VySWQiOiI0MDIwOTUwNjUifQ==</vt:lpwstr>
  </property>
</Properties>
</file>